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E1F43" w14:textId="1DCD2FB0" w:rsidR="00656BC8" w:rsidRDefault="00FE621D" w:rsidP="00874EAC">
      <w:pPr>
        <w:jc w:val="center"/>
        <w:rPr>
          <w:rFonts w:asciiTheme="minorHAnsi" w:hAnsiTheme="minorHAnsi"/>
          <w:b/>
          <w:u w:val="single"/>
          <w:lang w:val="en-GB"/>
        </w:rPr>
      </w:pPr>
      <w:r w:rsidRPr="004F19AF">
        <w:rPr>
          <w:rFonts w:asciiTheme="minorHAnsi" w:hAnsiTheme="minorHAnsi"/>
          <w:b/>
          <w:u w:val="single"/>
          <w:lang w:val="en-GB"/>
        </w:rPr>
        <w:t xml:space="preserve">Obstacles and barriers to the participation of non-state </w:t>
      </w:r>
      <w:r w:rsidR="006F142D">
        <w:rPr>
          <w:rFonts w:asciiTheme="minorHAnsi" w:hAnsiTheme="minorHAnsi"/>
          <w:b/>
          <w:u w:val="single"/>
          <w:lang w:val="en-GB"/>
        </w:rPr>
        <w:t xml:space="preserve">and subnational </w:t>
      </w:r>
      <w:r w:rsidRPr="004F19AF">
        <w:rPr>
          <w:rFonts w:asciiTheme="minorHAnsi" w:hAnsiTheme="minorHAnsi"/>
          <w:b/>
          <w:u w:val="single"/>
          <w:lang w:val="en-GB"/>
        </w:rPr>
        <w:t>actors in climate change actions</w:t>
      </w:r>
    </w:p>
    <w:p w14:paraId="0462192C" w14:textId="77777777" w:rsidR="004F19AF" w:rsidRDefault="004F19AF">
      <w:pPr>
        <w:rPr>
          <w:rFonts w:asciiTheme="minorHAnsi" w:hAnsiTheme="minorHAnsi"/>
          <w:b/>
          <w:u w:val="single"/>
          <w:lang w:val="en-GB"/>
        </w:rPr>
      </w:pPr>
    </w:p>
    <w:p w14:paraId="426C5991" w14:textId="77777777" w:rsidR="0020739F" w:rsidRDefault="0020739F">
      <w:pPr>
        <w:rPr>
          <w:rFonts w:asciiTheme="minorHAnsi" w:hAnsiTheme="minorHAnsi"/>
          <w:b/>
          <w:u w:val="single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Introduction</w:t>
      </w:r>
    </w:p>
    <w:p w14:paraId="45C5B1AE" w14:textId="77777777" w:rsidR="006C312E" w:rsidRDefault="006C312E">
      <w:pPr>
        <w:rPr>
          <w:rFonts w:asciiTheme="minorHAnsi" w:hAnsiTheme="minorHAnsi"/>
          <w:lang w:val="en-GB"/>
        </w:rPr>
      </w:pPr>
    </w:p>
    <w:p w14:paraId="24DF5995" w14:textId="3C6E2E52" w:rsidR="004B6990" w:rsidRDefault="004B6990">
      <w:pPr>
        <w:rPr>
          <w:rFonts w:asciiTheme="minorHAnsi" w:hAnsiTheme="minorHAnsi"/>
          <w:lang w:val="en-GB"/>
        </w:rPr>
      </w:pPr>
      <w:r w:rsidRPr="004B6990">
        <w:rPr>
          <w:rFonts w:asciiTheme="minorHAnsi" w:hAnsiTheme="minorHAnsi"/>
          <w:lang w:val="en-GB"/>
        </w:rPr>
        <w:t xml:space="preserve">Despite </w:t>
      </w:r>
      <w:r>
        <w:rPr>
          <w:rFonts w:asciiTheme="minorHAnsi" w:hAnsiTheme="minorHAnsi"/>
          <w:lang w:val="en-GB"/>
        </w:rPr>
        <w:t xml:space="preserve">the substantial </w:t>
      </w:r>
      <w:r w:rsidR="00563CE5">
        <w:rPr>
          <w:rFonts w:asciiTheme="minorHAnsi" w:hAnsiTheme="minorHAnsi"/>
          <w:lang w:val="en-GB"/>
        </w:rPr>
        <w:t xml:space="preserve">and ever-increasing </w:t>
      </w:r>
      <w:r>
        <w:rPr>
          <w:rFonts w:asciiTheme="minorHAnsi" w:hAnsiTheme="minorHAnsi"/>
          <w:lang w:val="en-GB"/>
        </w:rPr>
        <w:t xml:space="preserve">volume of </w:t>
      </w:r>
      <w:r w:rsidR="00563CE5">
        <w:rPr>
          <w:rFonts w:asciiTheme="minorHAnsi" w:hAnsiTheme="minorHAnsi"/>
          <w:lang w:val="en-GB"/>
        </w:rPr>
        <w:t xml:space="preserve">successfully implemented </w:t>
      </w:r>
      <w:r>
        <w:rPr>
          <w:rFonts w:asciiTheme="minorHAnsi" w:hAnsiTheme="minorHAnsi"/>
          <w:lang w:val="en-GB"/>
        </w:rPr>
        <w:t xml:space="preserve">climate change actions and initiatives </w:t>
      </w:r>
      <w:r w:rsidR="00563CE5">
        <w:rPr>
          <w:rFonts w:asciiTheme="minorHAnsi" w:hAnsiTheme="minorHAnsi"/>
          <w:lang w:val="en-GB"/>
        </w:rPr>
        <w:t xml:space="preserve">by non-state </w:t>
      </w:r>
      <w:r w:rsidR="006F142D">
        <w:rPr>
          <w:rFonts w:asciiTheme="minorHAnsi" w:hAnsiTheme="minorHAnsi"/>
          <w:lang w:val="en-GB"/>
        </w:rPr>
        <w:t xml:space="preserve">and subnational </w:t>
      </w:r>
      <w:r w:rsidR="00563CE5">
        <w:rPr>
          <w:rFonts w:asciiTheme="minorHAnsi" w:hAnsiTheme="minorHAnsi"/>
          <w:lang w:val="en-GB"/>
        </w:rPr>
        <w:t xml:space="preserve">actors, and the evidence that this </w:t>
      </w:r>
      <w:r w:rsidR="00F71A45">
        <w:rPr>
          <w:rFonts w:asciiTheme="minorHAnsi" w:hAnsiTheme="minorHAnsi"/>
          <w:lang w:val="en-GB"/>
        </w:rPr>
        <w:t>sector</w:t>
      </w:r>
      <w:r w:rsidR="00563CE5">
        <w:rPr>
          <w:rFonts w:asciiTheme="minorHAnsi" w:hAnsiTheme="minorHAnsi"/>
          <w:lang w:val="en-GB"/>
        </w:rPr>
        <w:t xml:space="preserve"> has a significant and highly effective role to play in the global battle against climate change, there remain a number of important barriers preventing or hindering this movement.</w:t>
      </w:r>
    </w:p>
    <w:p w14:paraId="277C7B41" w14:textId="77777777" w:rsidR="00563CE5" w:rsidRPr="004B6990" w:rsidRDefault="00563CE5">
      <w:pPr>
        <w:rPr>
          <w:rFonts w:asciiTheme="minorHAnsi" w:hAnsiTheme="minorHAnsi"/>
          <w:lang w:val="en-GB"/>
        </w:rPr>
      </w:pPr>
    </w:p>
    <w:p w14:paraId="6D912315" w14:textId="2FB4AC35" w:rsidR="004A299C" w:rsidRDefault="004A299C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This note aims to </w:t>
      </w:r>
      <w:r w:rsidR="00563CE5">
        <w:rPr>
          <w:rFonts w:asciiTheme="minorHAnsi" w:hAnsiTheme="minorHAnsi"/>
          <w:lang w:val="en-GB"/>
        </w:rPr>
        <w:t xml:space="preserve">provide a clear outline of </w:t>
      </w:r>
      <w:r>
        <w:rPr>
          <w:rFonts w:asciiTheme="minorHAnsi" w:hAnsiTheme="minorHAnsi"/>
          <w:lang w:val="en-GB"/>
        </w:rPr>
        <w:t xml:space="preserve">the main obstacles and barriers </w:t>
      </w:r>
      <w:r w:rsidR="004B6990">
        <w:rPr>
          <w:rFonts w:asciiTheme="minorHAnsi" w:hAnsiTheme="minorHAnsi"/>
          <w:lang w:val="en-GB"/>
        </w:rPr>
        <w:t xml:space="preserve">encountered by non-state </w:t>
      </w:r>
      <w:r w:rsidR="006F142D">
        <w:rPr>
          <w:rFonts w:asciiTheme="minorHAnsi" w:hAnsiTheme="minorHAnsi"/>
          <w:lang w:val="en-GB"/>
        </w:rPr>
        <w:t xml:space="preserve">and subnational </w:t>
      </w:r>
      <w:r w:rsidR="004B6990">
        <w:rPr>
          <w:rFonts w:asciiTheme="minorHAnsi" w:hAnsiTheme="minorHAnsi"/>
          <w:lang w:val="en-GB"/>
        </w:rPr>
        <w:t xml:space="preserve">actors attempting to participate in actions to combat climate change. </w:t>
      </w:r>
      <w:r w:rsidR="00150B5A">
        <w:rPr>
          <w:rFonts w:asciiTheme="minorHAnsi" w:hAnsiTheme="minorHAnsi"/>
          <w:lang w:val="en-GB"/>
        </w:rPr>
        <w:t>It draws from</w:t>
      </w:r>
      <w:r w:rsidR="004B6990">
        <w:rPr>
          <w:rFonts w:asciiTheme="minorHAnsi" w:hAnsiTheme="minorHAnsi"/>
          <w:lang w:val="en-GB"/>
        </w:rPr>
        <w:t xml:space="preserve"> issues </w:t>
      </w:r>
      <w:r w:rsidR="00563CE5">
        <w:rPr>
          <w:rFonts w:asciiTheme="minorHAnsi" w:hAnsiTheme="minorHAnsi"/>
          <w:lang w:val="en-GB"/>
        </w:rPr>
        <w:t>repeatedly</w:t>
      </w:r>
      <w:r>
        <w:rPr>
          <w:rFonts w:asciiTheme="minorHAnsi" w:hAnsiTheme="minorHAnsi"/>
          <w:lang w:val="en-GB"/>
        </w:rPr>
        <w:t xml:space="preserve"> identified </w:t>
      </w:r>
      <w:r w:rsidR="00F71A45">
        <w:rPr>
          <w:rFonts w:asciiTheme="minorHAnsi" w:hAnsiTheme="minorHAnsi"/>
          <w:lang w:val="en-GB"/>
        </w:rPr>
        <w:t>during</w:t>
      </w:r>
      <w:r w:rsidR="0073374B">
        <w:rPr>
          <w:rFonts w:asciiTheme="minorHAnsi" w:hAnsiTheme="minorHAnsi"/>
          <w:lang w:val="en-GB"/>
        </w:rPr>
        <w:t xml:space="preserve"> the </w:t>
      </w:r>
      <w:r w:rsidR="00F71A45">
        <w:rPr>
          <w:rFonts w:asciiTheme="minorHAnsi" w:hAnsiTheme="minorHAnsi"/>
          <w:lang w:val="en-GB"/>
        </w:rPr>
        <w:t>l</w:t>
      </w:r>
      <w:r w:rsidR="0073374B">
        <w:rPr>
          <w:rFonts w:asciiTheme="minorHAnsi" w:hAnsiTheme="minorHAnsi"/>
          <w:lang w:val="en-GB"/>
        </w:rPr>
        <w:t xml:space="preserve">ast two years </w:t>
      </w:r>
      <w:r w:rsidR="002E7546">
        <w:rPr>
          <w:rFonts w:asciiTheme="minorHAnsi" w:hAnsiTheme="minorHAnsi"/>
          <w:lang w:val="en-GB"/>
        </w:rPr>
        <w:t>of work in this area by ICGC partners including partnership events, surveys, opinions, reports etc.</w:t>
      </w:r>
    </w:p>
    <w:p w14:paraId="035E850F" w14:textId="77777777" w:rsidR="00BA1EE6" w:rsidRDefault="00BA1EE6">
      <w:pPr>
        <w:rPr>
          <w:rFonts w:asciiTheme="minorHAnsi" w:hAnsiTheme="minorHAnsi"/>
          <w:lang w:val="en-GB"/>
        </w:rPr>
      </w:pPr>
    </w:p>
    <w:p w14:paraId="77BC5E87" w14:textId="63AB4475" w:rsidR="00BA1EE6" w:rsidRPr="004A299C" w:rsidRDefault="00AE08DA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 non-state </w:t>
      </w:r>
      <w:r w:rsidR="006F142D">
        <w:rPr>
          <w:rFonts w:asciiTheme="minorHAnsi" w:hAnsiTheme="minorHAnsi"/>
          <w:lang w:val="en-GB"/>
        </w:rPr>
        <w:t xml:space="preserve">and subnational </w:t>
      </w:r>
      <w:r>
        <w:rPr>
          <w:rFonts w:asciiTheme="minorHAnsi" w:hAnsiTheme="minorHAnsi"/>
          <w:lang w:val="en-GB"/>
        </w:rPr>
        <w:t>actor (NSA)</w:t>
      </w:r>
      <w:r w:rsidR="00BA1EE6">
        <w:rPr>
          <w:rFonts w:asciiTheme="minorHAnsi" w:hAnsiTheme="minorHAnsi"/>
          <w:lang w:val="en-GB"/>
        </w:rPr>
        <w:t xml:space="preserve"> is an actor that is not </w:t>
      </w:r>
      <w:r>
        <w:rPr>
          <w:rFonts w:asciiTheme="minorHAnsi" w:hAnsiTheme="minorHAnsi"/>
          <w:lang w:val="en-GB"/>
        </w:rPr>
        <w:t xml:space="preserve">a </w:t>
      </w:r>
      <w:r w:rsidR="00BA1EE6">
        <w:rPr>
          <w:rFonts w:asciiTheme="minorHAnsi" w:hAnsiTheme="minorHAnsi"/>
          <w:lang w:val="en-GB"/>
        </w:rPr>
        <w:t>party to the United Nations Framewor</w:t>
      </w:r>
      <w:r>
        <w:rPr>
          <w:rFonts w:asciiTheme="minorHAnsi" w:hAnsiTheme="minorHAnsi"/>
          <w:lang w:val="en-GB"/>
        </w:rPr>
        <w:t>k Convention on Climate Change.</w:t>
      </w:r>
    </w:p>
    <w:p w14:paraId="65FC1BF9" w14:textId="77777777" w:rsidR="0020739F" w:rsidRDefault="0020739F" w:rsidP="00F71A45">
      <w:pPr>
        <w:rPr>
          <w:rFonts w:asciiTheme="minorHAnsi" w:hAnsiTheme="minorHAnsi"/>
          <w:lang w:val="en-GB"/>
        </w:rPr>
      </w:pPr>
    </w:p>
    <w:p w14:paraId="16C043E9" w14:textId="3835F6D1" w:rsidR="00872098" w:rsidRPr="00F71A45" w:rsidRDefault="00872098" w:rsidP="00872098">
      <w:pPr>
        <w:rPr>
          <w:rFonts w:asciiTheme="minorHAnsi" w:hAnsiTheme="minorHAnsi"/>
          <w:lang w:val="en-GB"/>
        </w:rPr>
      </w:pPr>
    </w:p>
    <w:p w14:paraId="58375C8F" w14:textId="6C4D3851" w:rsidR="00D32FE9" w:rsidRDefault="00B96D33" w:rsidP="00D32FE9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A</w:t>
      </w:r>
      <w:r w:rsidR="00874EAC" w:rsidRPr="00BA7375">
        <w:rPr>
          <w:rFonts w:asciiTheme="minorHAnsi" w:hAnsiTheme="minorHAnsi"/>
          <w:b/>
          <w:lang w:val="en-GB"/>
        </w:rPr>
        <w:t>ccess to finance</w:t>
      </w:r>
    </w:p>
    <w:p w14:paraId="135F0992" w14:textId="77777777" w:rsidR="006B31D9" w:rsidRDefault="006B31D9" w:rsidP="006B31D9">
      <w:pPr>
        <w:pStyle w:val="ListParagraph"/>
        <w:ind w:left="426"/>
        <w:rPr>
          <w:rFonts w:asciiTheme="minorHAnsi" w:hAnsiTheme="minorHAnsi"/>
          <w:b/>
          <w:lang w:val="en-GB"/>
        </w:rPr>
      </w:pPr>
    </w:p>
    <w:p w14:paraId="6C45056C" w14:textId="77777777" w:rsidR="00872098" w:rsidRDefault="00D32FE9" w:rsidP="006B31D9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is the</w:t>
      </w:r>
      <w:r w:rsidR="009776BF" w:rsidRPr="00D32FE9">
        <w:rPr>
          <w:rFonts w:asciiTheme="minorHAnsi" w:hAnsiTheme="minorHAnsi"/>
          <w:lang w:val="en-GB"/>
        </w:rPr>
        <w:t xml:space="preserve"> most obvious </w:t>
      </w:r>
      <w:r>
        <w:rPr>
          <w:rFonts w:asciiTheme="minorHAnsi" w:hAnsiTheme="minorHAnsi"/>
          <w:lang w:val="en-GB"/>
        </w:rPr>
        <w:t xml:space="preserve">barrier </w:t>
      </w:r>
      <w:r w:rsidR="009776BF" w:rsidRPr="00D32FE9">
        <w:rPr>
          <w:rFonts w:asciiTheme="minorHAnsi" w:hAnsiTheme="minorHAnsi"/>
          <w:lang w:val="en-GB"/>
        </w:rPr>
        <w:t xml:space="preserve">and </w:t>
      </w:r>
      <w:r>
        <w:rPr>
          <w:rFonts w:asciiTheme="minorHAnsi" w:hAnsiTheme="minorHAnsi"/>
          <w:lang w:val="en-GB"/>
        </w:rPr>
        <w:t xml:space="preserve">the </w:t>
      </w:r>
      <w:r w:rsidR="009776BF" w:rsidRPr="00D32FE9">
        <w:rPr>
          <w:rFonts w:asciiTheme="minorHAnsi" w:hAnsiTheme="minorHAnsi"/>
          <w:lang w:val="en-GB"/>
        </w:rPr>
        <w:t xml:space="preserve">most frequently cited </w:t>
      </w:r>
      <w:r w:rsidR="00BA1EE6" w:rsidRPr="00D32FE9">
        <w:rPr>
          <w:rFonts w:asciiTheme="minorHAnsi" w:hAnsiTheme="minorHAnsi"/>
          <w:lang w:val="en-GB"/>
        </w:rPr>
        <w:t>by</w:t>
      </w:r>
      <w:r w:rsidR="009776BF" w:rsidRPr="00D32FE9">
        <w:rPr>
          <w:rFonts w:asciiTheme="minorHAnsi" w:hAnsiTheme="minorHAnsi"/>
          <w:lang w:val="en-GB"/>
        </w:rPr>
        <w:t xml:space="preserve"> all </w:t>
      </w:r>
      <w:r>
        <w:rPr>
          <w:rFonts w:asciiTheme="minorHAnsi" w:hAnsiTheme="minorHAnsi"/>
          <w:lang w:val="en-GB"/>
        </w:rPr>
        <w:t>categories</w:t>
      </w:r>
      <w:r w:rsidR="009776BF" w:rsidRPr="00D32FE9">
        <w:rPr>
          <w:rFonts w:asciiTheme="minorHAnsi" w:hAnsiTheme="minorHAnsi"/>
          <w:lang w:val="en-GB"/>
        </w:rPr>
        <w:t xml:space="preserve"> of NSA</w:t>
      </w:r>
      <w:r w:rsidR="00633CA7" w:rsidRPr="00D32FE9">
        <w:rPr>
          <w:rFonts w:asciiTheme="minorHAnsi" w:hAnsiTheme="minorHAnsi"/>
          <w:lang w:val="en-GB"/>
        </w:rPr>
        <w:t>.</w:t>
      </w:r>
      <w:r w:rsidR="00721F87">
        <w:rPr>
          <w:rFonts w:asciiTheme="minorHAnsi" w:hAnsiTheme="minorHAnsi"/>
          <w:lang w:val="en-GB"/>
        </w:rPr>
        <w:t xml:space="preserve"> </w:t>
      </w:r>
      <w:r w:rsidR="00872098" w:rsidRPr="00872098">
        <w:rPr>
          <w:rFonts w:asciiTheme="minorHAnsi" w:hAnsiTheme="minorHAnsi"/>
          <w:lang w:val="en-GB"/>
        </w:rPr>
        <w:t>Based</w:t>
      </w:r>
      <w:r w:rsidR="00872098">
        <w:rPr>
          <w:rFonts w:asciiTheme="minorHAnsi" w:hAnsiTheme="minorHAnsi"/>
          <w:lang w:val="en-GB"/>
        </w:rPr>
        <w:t xml:space="preserve"> </w:t>
      </w:r>
      <w:r w:rsidR="00872098" w:rsidRPr="00872098">
        <w:rPr>
          <w:rFonts w:asciiTheme="minorHAnsi" w:hAnsiTheme="minorHAnsi"/>
          <w:lang w:val="en-GB"/>
        </w:rPr>
        <w:t>on almost 100 responses to a perceptions survey of needs and challenges</w:t>
      </w:r>
      <w:r w:rsidR="00872098">
        <w:rPr>
          <w:rFonts w:asciiTheme="minorHAnsi" w:hAnsiTheme="minorHAnsi"/>
          <w:lang w:val="en-GB"/>
        </w:rPr>
        <w:t>, carried out for the purpose of the recent study</w:t>
      </w:r>
      <w:r w:rsidR="00872098">
        <w:rPr>
          <w:rStyle w:val="FootnoteReference"/>
          <w:rFonts w:asciiTheme="minorHAnsi" w:hAnsiTheme="minorHAnsi"/>
          <w:lang w:val="en-GB"/>
        </w:rPr>
        <w:footnoteReference w:id="1"/>
      </w:r>
      <w:r w:rsidR="00872098">
        <w:rPr>
          <w:rFonts w:asciiTheme="minorHAnsi" w:hAnsiTheme="minorHAnsi"/>
          <w:lang w:val="en-GB"/>
        </w:rPr>
        <w:t xml:space="preserve">, </w:t>
      </w:r>
      <w:r w:rsidR="00872098">
        <w:rPr>
          <w:rFonts w:asciiTheme="minorHAnsi" w:hAnsiTheme="minorHAnsi"/>
          <w:lang w:val="en-GB"/>
        </w:rPr>
        <w:t xml:space="preserve">lack of access to finance represents a barrier for almost 2/3 of NSAs. </w:t>
      </w:r>
    </w:p>
    <w:p w14:paraId="7AC1C3CC" w14:textId="696CC768" w:rsidR="00872098" w:rsidRDefault="00872098" w:rsidP="006B31D9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D2ADAFE" wp14:editId="4C1812EA">
            <wp:extent cx="5761355" cy="2902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90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17A27" w14:textId="2EEDFAF8" w:rsidR="006B31D9" w:rsidRDefault="00721F87" w:rsidP="006B31D9">
      <w:pPr>
        <w:pStyle w:val="ListParagraph"/>
        <w:ind w:left="426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lang w:val="en-GB"/>
        </w:rPr>
        <w:t xml:space="preserve">There is no lack of current and future funding available and </w:t>
      </w:r>
      <w:r w:rsidR="00D24184">
        <w:rPr>
          <w:rFonts w:asciiTheme="minorHAnsi" w:hAnsiTheme="minorHAnsi"/>
          <w:lang w:val="en-GB"/>
        </w:rPr>
        <w:t>earmarked</w:t>
      </w:r>
      <w:r>
        <w:rPr>
          <w:rFonts w:asciiTheme="minorHAnsi" w:hAnsiTheme="minorHAnsi"/>
          <w:lang w:val="en-GB"/>
        </w:rPr>
        <w:t xml:space="preserve"> </w:t>
      </w:r>
      <w:r w:rsidR="00D24184">
        <w:rPr>
          <w:rFonts w:asciiTheme="minorHAnsi" w:hAnsiTheme="minorHAnsi"/>
          <w:lang w:val="en-GB"/>
        </w:rPr>
        <w:t>for</w:t>
      </w:r>
      <w:r>
        <w:rPr>
          <w:rFonts w:asciiTheme="minorHAnsi" w:hAnsiTheme="minorHAnsi"/>
          <w:lang w:val="en-GB"/>
        </w:rPr>
        <w:t xml:space="preserve"> climate actions, but access to these funds proves problematic for a number of reasons</w:t>
      </w:r>
      <w:r w:rsidR="00D24184">
        <w:rPr>
          <w:rFonts w:asciiTheme="minorHAnsi" w:hAnsiTheme="minorHAnsi"/>
          <w:lang w:val="en-GB"/>
        </w:rPr>
        <w:t>.</w:t>
      </w:r>
    </w:p>
    <w:p w14:paraId="140FDD52" w14:textId="77777777" w:rsidR="006B31D9" w:rsidRDefault="006B31D9" w:rsidP="006B31D9">
      <w:pPr>
        <w:pStyle w:val="ListParagraph"/>
        <w:ind w:left="426"/>
        <w:rPr>
          <w:rFonts w:asciiTheme="minorHAnsi" w:hAnsiTheme="minorHAnsi"/>
          <w:b/>
          <w:lang w:val="en-GB"/>
        </w:rPr>
      </w:pPr>
    </w:p>
    <w:p w14:paraId="529A65C9" w14:textId="705CF5B4" w:rsidR="00872098" w:rsidRPr="00872098" w:rsidRDefault="00872098" w:rsidP="006B31D9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872098">
        <w:rPr>
          <w:rFonts w:asciiTheme="minorHAnsi" w:hAnsiTheme="minorHAnsi"/>
          <w:b/>
          <w:lang w:val="en-GB"/>
        </w:rPr>
        <w:t>Lack of information about funding opportunit</w:t>
      </w:r>
      <w:r>
        <w:rPr>
          <w:rFonts w:asciiTheme="minorHAnsi" w:hAnsiTheme="minorHAnsi"/>
          <w:b/>
          <w:lang w:val="en-GB"/>
        </w:rPr>
        <w:t>i</w:t>
      </w:r>
      <w:r w:rsidRPr="00872098">
        <w:rPr>
          <w:rFonts w:asciiTheme="minorHAnsi" w:hAnsiTheme="minorHAnsi"/>
          <w:b/>
          <w:lang w:val="en-GB"/>
        </w:rPr>
        <w:t>es</w:t>
      </w:r>
    </w:p>
    <w:p w14:paraId="569115D9" w14:textId="1A62E845" w:rsidR="006B31D9" w:rsidRDefault="004B6990" w:rsidP="006B31D9">
      <w:pPr>
        <w:pStyle w:val="ListParagraph"/>
        <w:ind w:left="426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lang w:val="en-GB"/>
        </w:rPr>
        <w:t>There is n</w:t>
      </w:r>
      <w:r w:rsidR="007A181B" w:rsidRPr="007A181B">
        <w:rPr>
          <w:rFonts w:asciiTheme="minorHAnsi" w:hAnsiTheme="minorHAnsi"/>
          <w:lang w:val="en-GB"/>
        </w:rPr>
        <w:t>o clear map of funding opportunities</w:t>
      </w:r>
      <w:r w:rsidR="00633CA7">
        <w:rPr>
          <w:rFonts w:asciiTheme="minorHAnsi" w:hAnsiTheme="minorHAnsi"/>
          <w:lang w:val="en-GB"/>
        </w:rPr>
        <w:t xml:space="preserve"> at the non-state </w:t>
      </w:r>
      <w:r w:rsidR="006F142D">
        <w:rPr>
          <w:rFonts w:asciiTheme="minorHAnsi" w:hAnsiTheme="minorHAnsi"/>
          <w:lang w:val="en-GB"/>
        </w:rPr>
        <w:t xml:space="preserve">and subnational </w:t>
      </w:r>
      <w:r w:rsidR="00633CA7">
        <w:rPr>
          <w:rFonts w:asciiTheme="minorHAnsi" w:hAnsiTheme="minorHAnsi"/>
          <w:lang w:val="en-GB"/>
        </w:rPr>
        <w:t>level.</w:t>
      </w:r>
      <w:r w:rsidR="00721F87">
        <w:rPr>
          <w:rFonts w:asciiTheme="minorHAnsi" w:hAnsiTheme="minorHAnsi"/>
          <w:lang w:val="en-GB"/>
        </w:rPr>
        <w:t xml:space="preserve"> Attempts are in progress to map available EU funds and their destination</w:t>
      </w:r>
      <w:r w:rsidR="00D24184">
        <w:rPr>
          <w:rFonts w:asciiTheme="minorHAnsi" w:hAnsiTheme="minorHAnsi"/>
          <w:lang w:val="en-GB"/>
        </w:rPr>
        <w:t>s</w:t>
      </w:r>
      <w:r w:rsidR="00721F87">
        <w:rPr>
          <w:rFonts w:asciiTheme="minorHAnsi" w:hAnsiTheme="minorHAnsi"/>
          <w:lang w:val="en-GB"/>
        </w:rPr>
        <w:t xml:space="preserve">, but the structure and criteria for allocation of funding is often unclear, and appears to reach only </w:t>
      </w:r>
      <w:r w:rsidR="00454F2A">
        <w:rPr>
          <w:rFonts w:asciiTheme="minorHAnsi" w:hAnsiTheme="minorHAnsi"/>
          <w:lang w:val="en-GB"/>
        </w:rPr>
        <w:t>large coalitions, and projects with significant budgets. T</w:t>
      </w:r>
      <w:r w:rsidR="00721F87">
        <w:rPr>
          <w:rFonts w:asciiTheme="minorHAnsi" w:hAnsiTheme="minorHAnsi"/>
          <w:lang w:val="en-GB"/>
        </w:rPr>
        <w:t>he</w:t>
      </w:r>
      <w:r w:rsidR="00454F2A">
        <w:rPr>
          <w:rFonts w:asciiTheme="minorHAnsi" w:hAnsiTheme="minorHAnsi"/>
          <w:lang w:val="en-GB"/>
        </w:rPr>
        <w:t xml:space="preserve">re is </w:t>
      </w:r>
      <w:r w:rsidR="005769A9">
        <w:rPr>
          <w:rFonts w:asciiTheme="minorHAnsi" w:hAnsiTheme="minorHAnsi"/>
          <w:lang w:val="en-GB"/>
        </w:rPr>
        <w:t>a certain</w:t>
      </w:r>
      <w:r w:rsidR="00454F2A">
        <w:rPr>
          <w:rFonts w:asciiTheme="minorHAnsi" w:hAnsiTheme="minorHAnsi"/>
          <w:lang w:val="en-GB"/>
        </w:rPr>
        <w:t xml:space="preserve"> access for the</w:t>
      </w:r>
      <w:r w:rsidR="00721F87">
        <w:rPr>
          <w:rFonts w:asciiTheme="minorHAnsi" w:hAnsiTheme="minorHAnsi"/>
          <w:lang w:val="en-GB"/>
        </w:rPr>
        <w:t xml:space="preserve"> higher tiers of NSA</w:t>
      </w:r>
      <w:r w:rsidR="00D24184">
        <w:rPr>
          <w:rFonts w:asciiTheme="minorHAnsi" w:hAnsiTheme="minorHAnsi"/>
          <w:lang w:val="en-GB"/>
        </w:rPr>
        <w:t>s such as citi</w:t>
      </w:r>
      <w:r w:rsidR="00454F2A">
        <w:rPr>
          <w:rFonts w:asciiTheme="minorHAnsi" w:hAnsiTheme="minorHAnsi"/>
          <w:lang w:val="en-GB"/>
        </w:rPr>
        <w:t>es and regions, but below this</w:t>
      </w:r>
      <w:r w:rsidR="00CD068E">
        <w:rPr>
          <w:rFonts w:asciiTheme="minorHAnsi" w:hAnsiTheme="minorHAnsi"/>
          <w:lang w:val="en-GB"/>
        </w:rPr>
        <w:t xml:space="preserve"> there is n</w:t>
      </w:r>
      <w:r w:rsidR="00D37452">
        <w:rPr>
          <w:rFonts w:asciiTheme="minorHAnsi" w:hAnsiTheme="minorHAnsi"/>
          <w:lang w:val="en-GB"/>
        </w:rPr>
        <w:t xml:space="preserve">either direct access </w:t>
      </w:r>
      <w:r w:rsidR="00454F2A">
        <w:rPr>
          <w:rFonts w:asciiTheme="minorHAnsi" w:hAnsiTheme="minorHAnsi"/>
          <w:lang w:val="en-GB"/>
        </w:rPr>
        <w:t xml:space="preserve">through a dedicated fund, </w:t>
      </w:r>
      <w:r w:rsidR="00CD068E">
        <w:rPr>
          <w:rFonts w:asciiTheme="minorHAnsi" w:hAnsiTheme="minorHAnsi"/>
          <w:lang w:val="en-GB"/>
        </w:rPr>
        <w:t>n</w:t>
      </w:r>
      <w:r w:rsidR="00D37452">
        <w:rPr>
          <w:rFonts w:asciiTheme="minorHAnsi" w:hAnsiTheme="minorHAnsi"/>
          <w:lang w:val="en-GB"/>
        </w:rPr>
        <w:t>or a trickle-down mechanism for the benefit of smaller-scale NSAs.</w:t>
      </w:r>
    </w:p>
    <w:p w14:paraId="7816E319" w14:textId="77777777" w:rsidR="006B31D9" w:rsidRDefault="006B31D9" w:rsidP="006B31D9">
      <w:pPr>
        <w:pStyle w:val="ListParagraph"/>
        <w:ind w:left="426"/>
        <w:rPr>
          <w:rFonts w:asciiTheme="minorHAnsi" w:hAnsiTheme="minorHAnsi"/>
          <w:b/>
          <w:lang w:val="en-GB"/>
        </w:rPr>
      </w:pPr>
    </w:p>
    <w:p w14:paraId="099CE718" w14:textId="17D34187" w:rsidR="00B96D33" w:rsidRPr="00B96D33" w:rsidRDefault="00B96D33" w:rsidP="006B31D9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Inadequate requirements and complexity</w:t>
      </w:r>
    </w:p>
    <w:p w14:paraId="4C227966" w14:textId="51557D70" w:rsidR="006B31D9" w:rsidRDefault="00FC1E60" w:rsidP="006B31D9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These smaller</w:t>
      </w:r>
      <w:r w:rsidR="006B31D9">
        <w:rPr>
          <w:rFonts w:asciiTheme="minorHAnsi" w:hAnsiTheme="minorHAnsi"/>
          <w:lang w:val="en-GB"/>
        </w:rPr>
        <w:t xml:space="preserve"> NSAs and projects encounter m</w:t>
      </w:r>
      <w:r w:rsidR="00633CA7">
        <w:rPr>
          <w:rFonts w:asciiTheme="minorHAnsi" w:hAnsiTheme="minorHAnsi"/>
          <w:lang w:val="en-GB"/>
        </w:rPr>
        <w:t xml:space="preserve">ultiple </w:t>
      </w:r>
      <w:r w:rsidR="006B31D9">
        <w:rPr>
          <w:rFonts w:asciiTheme="minorHAnsi" w:hAnsiTheme="minorHAnsi"/>
          <w:lang w:val="en-GB"/>
        </w:rPr>
        <w:t xml:space="preserve">financing </w:t>
      </w:r>
      <w:r w:rsidR="00633CA7">
        <w:rPr>
          <w:rFonts w:asciiTheme="minorHAnsi" w:hAnsiTheme="minorHAnsi"/>
          <w:lang w:val="en-GB"/>
        </w:rPr>
        <w:t>a</w:t>
      </w:r>
      <w:r w:rsidR="00783145">
        <w:rPr>
          <w:rFonts w:asciiTheme="minorHAnsi" w:hAnsiTheme="minorHAnsi"/>
          <w:lang w:val="en-GB"/>
        </w:rPr>
        <w:t xml:space="preserve">ccess issues </w:t>
      </w:r>
      <w:r w:rsidR="00633CA7">
        <w:rPr>
          <w:rFonts w:asciiTheme="minorHAnsi" w:hAnsiTheme="minorHAnsi"/>
          <w:lang w:val="en-GB"/>
        </w:rPr>
        <w:t xml:space="preserve">due to lack of </w:t>
      </w:r>
      <w:r w:rsidR="00B15035">
        <w:rPr>
          <w:rFonts w:asciiTheme="minorHAnsi" w:hAnsiTheme="minorHAnsi"/>
          <w:lang w:val="en-GB"/>
        </w:rPr>
        <w:t xml:space="preserve">knowledge, </w:t>
      </w:r>
      <w:r w:rsidR="00633CA7">
        <w:rPr>
          <w:rFonts w:asciiTheme="minorHAnsi" w:hAnsiTheme="minorHAnsi"/>
          <w:lang w:val="en-GB"/>
        </w:rPr>
        <w:t>resources</w:t>
      </w:r>
      <w:r w:rsidR="006B31D9">
        <w:rPr>
          <w:rFonts w:asciiTheme="minorHAnsi" w:hAnsiTheme="minorHAnsi"/>
          <w:lang w:val="en-GB"/>
        </w:rPr>
        <w:t xml:space="preserve"> and</w:t>
      </w:r>
      <w:r w:rsidR="00633CA7">
        <w:rPr>
          <w:rFonts w:asciiTheme="minorHAnsi" w:hAnsiTheme="minorHAnsi"/>
          <w:lang w:val="en-GB"/>
        </w:rPr>
        <w:t xml:space="preserve"> dedicated funds</w:t>
      </w:r>
      <w:r w:rsidR="002F5D34">
        <w:rPr>
          <w:rFonts w:asciiTheme="minorHAnsi" w:hAnsiTheme="minorHAnsi"/>
          <w:lang w:val="en-GB"/>
        </w:rPr>
        <w:t xml:space="preserve"> for their profile</w:t>
      </w:r>
      <w:r w:rsidR="006B31D9">
        <w:rPr>
          <w:rFonts w:asciiTheme="minorHAnsi" w:hAnsiTheme="minorHAnsi"/>
          <w:lang w:val="en-GB"/>
        </w:rPr>
        <w:t>.</w:t>
      </w:r>
      <w:r w:rsidR="00633CA7">
        <w:rPr>
          <w:rFonts w:asciiTheme="minorHAnsi" w:hAnsiTheme="minorHAnsi"/>
          <w:lang w:val="en-GB"/>
        </w:rPr>
        <w:t xml:space="preserve"> </w:t>
      </w:r>
      <w:r w:rsidR="006B31D9">
        <w:rPr>
          <w:rFonts w:asciiTheme="minorHAnsi" w:hAnsiTheme="minorHAnsi"/>
          <w:lang w:val="en-GB"/>
        </w:rPr>
        <w:t>They report disproportionate levels of complexity in the application process and in subsequent reporting requirements, neither of which are adapted to the needs and resources of simpler actions seeking a comparatively small amount of funding.</w:t>
      </w:r>
      <w:r>
        <w:rPr>
          <w:rFonts w:asciiTheme="minorHAnsi" w:hAnsiTheme="minorHAnsi"/>
          <w:lang w:val="en-GB"/>
        </w:rPr>
        <w:t xml:space="preserve"> Similarly, where funding is potentially available, the eligibility criteria are invariably either too vague, or too specific and therefore too easily exclude a large number of projects.</w:t>
      </w:r>
    </w:p>
    <w:p w14:paraId="23049BED" w14:textId="77777777" w:rsidR="006B31D9" w:rsidRDefault="006B31D9" w:rsidP="006B31D9">
      <w:pPr>
        <w:pStyle w:val="ListParagraph"/>
        <w:ind w:left="426"/>
        <w:rPr>
          <w:rFonts w:asciiTheme="minorHAnsi" w:hAnsiTheme="minorHAnsi"/>
          <w:lang w:val="en-GB"/>
        </w:rPr>
      </w:pPr>
    </w:p>
    <w:p w14:paraId="1E859543" w14:textId="7324A8C9" w:rsidR="00B96D33" w:rsidRPr="0046787B" w:rsidRDefault="00114261" w:rsidP="006B31D9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46787B">
        <w:rPr>
          <w:rFonts w:asciiTheme="minorHAnsi" w:hAnsiTheme="minorHAnsi"/>
          <w:b/>
          <w:lang w:val="en-GB"/>
        </w:rPr>
        <w:t xml:space="preserve">Lack of mechanisms to </w:t>
      </w:r>
      <w:r w:rsidR="0046787B" w:rsidRPr="0046787B">
        <w:rPr>
          <w:rFonts w:asciiTheme="minorHAnsi" w:hAnsiTheme="minorHAnsi"/>
          <w:b/>
          <w:lang w:val="en-GB"/>
        </w:rPr>
        <w:t>direct</w:t>
      </w:r>
      <w:r w:rsidRPr="0046787B">
        <w:rPr>
          <w:rFonts w:asciiTheme="minorHAnsi" w:hAnsiTheme="minorHAnsi"/>
          <w:b/>
          <w:lang w:val="en-GB"/>
        </w:rPr>
        <w:t xml:space="preserve"> private investment</w:t>
      </w:r>
      <w:r w:rsidR="0046787B" w:rsidRPr="0046787B">
        <w:rPr>
          <w:rFonts w:asciiTheme="minorHAnsi" w:hAnsiTheme="minorHAnsi"/>
          <w:b/>
          <w:lang w:val="en-GB"/>
        </w:rPr>
        <w:t xml:space="preserve"> flows</w:t>
      </w:r>
    </w:p>
    <w:p w14:paraId="15D1B4ED" w14:textId="44A45D7C" w:rsidR="00783145" w:rsidRPr="00EB5AD5" w:rsidRDefault="00E7244D" w:rsidP="00EB5AD5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Regarding eligibility criteria, there</w:t>
      </w:r>
      <w:r w:rsidR="006B31D9">
        <w:rPr>
          <w:rFonts w:asciiTheme="minorHAnsi" w:hAnsiTheme="minorHAnsi"/>
          <w:lang w:val="en-GB"/>
        </w:rPr>
        <w:t xml:space="preserve"> is </w:t>
      </w:r>
      <w:r>
        <w:rPr>
          <w:rFonts w:asciiTheme="minorHAnsi" w:hAnsiTheme="minorHAnsi"/>
          <w:lang w:val="en-GB"/>
        </w:rPr>
        <w:t xml:space="preserve">also </w:t>
      </w:r>
      <w:r w:rsidR="006B31D9">
        <w:rPr>
          <w:rFonts w:asciiTheme="minorHAnsi" w:hAnsiTheme="minorHAnsi"/>
          <w:lang w:val="en-GB"/>
        </w:rPr>
        <w:t>d</w:t>
      </w:r>
      <w:r w:rsidR="00783145">
        <w:rPr>
          <w:rFonts w:asciiTheme="minorHAnsi" w:hAnsiTheme="minorHAnsi"/>
          <w:lang w:val="en-GB"/>
        </w:rPr>
        <w:t>ifficulty in defining what constitut</w:t>
      </w:r>
      <w:bookmarkStart w:id="0" w:name="_GoBack"/>
      <w:bookmarkEnd w:id="0"/>
      <w:r w:rsidR="00783145">
        <w:rPr>
          <w:rFonts w:asciiTheme="minorHAnsi" w:hAnsiTheme="minorHAnsi"/>
          <w:lang w:val="en-GB"/>
        </w:rPr>
        <w:t>es a 'green investment'</w:t>
      </w:r>
      <w:r w:rsidR="00633CA7">
        <w:rPr>
          <w:rFonts w:asciiTheme="minorHAnsi" w:hAnsiTheme="minorHAnsi"/>
          <w:lang w:val="en-GB"/>
        </w:rPr>
        <w:t xml:space="preserve">. </w:t>
      </w:r>
      <w:r w:rsidR="002F5D34" w:rsidRPr="00EB5AD5">
        <w:rPr>
          <w:rFonts w:asciiTheme="minorHAnsi" w:hAnsiTheme="minorHAnsi"/>
          <w:lang w:val="en-GB"/>
        </w:rPr>
        <w:t>This can present difficulties for NSAs at all levels.</w:t>
      </w:r>
      <w:r w:rsidR="002F5D34">
        <w:rPr>
          <w:rFonts w:asciiTheme="minorHAnsi" w:hAnsiTheme="minorHAnsi"/>
          <w:lang w:val="en-GB"/>
        </w:rPr>
        <w:t xml:space="preserve"> </w:t>
      </w:r>
      <w:r w:rsidR="00633CA7">
        <w:rPr>
          <w:rFonts w:asciiTheme="minorHAnsi" w:hAnsiTheme="minorHAnsi"/>
          <w:lang w:val="en-GB"/>
        </w:rPr>
        <w:t xml:space="preserve">Establishing common indicators or </w:t>
      </w:r>
      <w:r w:rsidR="002F5D34">
        <w:rPr>
          <w:rFonts w:asciiTheme="minorHAnsi" w:hAnsiTheme="minorHAnsi"/>
          <w:lang w:val="en-GB"/>
        </w:rPr>
        <w:t xml:space="preserve">objective </w:t>
      </w:r>
      <w:r w:rsidR="00633CA7">
        <w:rPr>
          <w:rFonts w:asciiTheme="minorHAnsi" w:hAnsiTheme="minorHAnsi"/>
          <w:lang w:val="en-GB"/>
        </w:rPr>
        <w:t>criteria for green investors is extremely complicated.</w:t>
      </w:r>
      <w:r w:rsidR="00EB5AD5">
        <w:rPr>
          <w:rFonts w:asciiTheme="minorHAnsi" w:hAnsiTheme="minorHAnsi"/>
          <w:lang w:val="en-GB"/>
        </w:rPr>
        <w:t xml:space="preserve"> </w:t>
      </w:r>
      <w:r w:rsidR="002F5D34">
        <w:rPr>
          <w:rFonts w:asciiTheme="minorHAnsi" w:hAnsiTheme="minorHAnsi"/>
          <w:lang w:val="en-GB"/>
        </w:rPr>
        <w:t>I</w:t>
      </w:r>
      <w:r w:rsidR="006B31D9" w:rsidRPr="00EB5AD5">
        <w:rPr>
          <w:rFonts w:asciiTheme="minorHAnsi" w:hAnsiTheme="minorHAnsi"/>
          <w:lang w:val="en-GB"/>
        </w:rPr>
        <w:t xml:space="preserve">nvestors are </w:t>
      </w:r>
      <w:r w:rsidR="00EB5AD5" w:rsidRPr="00EB5AD5">
        <w:rPr>
          <w:rFonts w:asciiTheme="minorHAnsi" w:hAnsiTheme="minorHAnsi"/>
          <w:lang w:val="en-GB"/>
        </w:rPr>
        <w:t>primarily concerned</w:t>
      </w:r>
      <w:r w:rsidR="006B31D9" w:rsidRPr="00EB5AD5">
        <w:rPr>
          <w:rFonts w:asciiTheme="minorHAnsi" w:hAnsiTheme="minorHAnsi"/>
          <w:lang w:val="en-GB"/>
        </w:rPr>
        <w:t xml:space="preserve"> </w:t>
      </w:r>
      <w:r w:rsidR="00EB5AD5" w:rsidRPr="00EB5AD5">
        <w:rPr>
          <w:rFonts w:asciiTheme="minorHAnsi" w:hAnsiTheme="minorHAnsi"/>
          <w:lang w:val="en-GB"/>
        </w:rPr>
        <w:t>with</w:t>
      </w:r>
      <w:r w:rsidR="006B31D9" w:rsidRPr="00EB5AD5">
        <w:rPr>
          <w:rFonts w:asciiTheme="minorHAnsi" w:hAnsiTheme="minorHAnsi"/>
          <w:lang w:val="en-GB"/>
        </w:rPr>
        <w:t xml:space="preserve"> risk and return</w:t>
      </w:r>
      <w:r w:rsidR="002F5D34">
        <w:rPr>
          <w:rFonts w:asciiTheme="minorHAnsi" w:hAnsiTheme="minorHAnsi"/>
          <w:lang w:val="en-GB"/>
        </w:rPr>
        <w:t xml:space="preserve">, and it is difficult for them to assess the potential impact </w:t>
      </w:r>
      <w:r w:rsidR="00140867">
        <w:rPr>
          <w:rFonts w:asciiTheme="minorHAnsi" w:hAnsiTheme="minorHAnsi"/>
          <w:lang w:val="en-GB"/>
        </w:rPr>
        <w:t xml:space="preserve">on the climate </w:t>
      </w:r>
      <w:r w:rsidR="002F5D34">
        <w:rPr>
          <w:rFonts w:asciiTheme="minorHAnsi" w:hAnsiTheme="minorHAnsi"/>
          <w:lang w:val="en-GB"/>
        </w:rPr>
        <w:t xml:space="preserve">of a </w:t>
      </w:r>
      <w:r w:rsidR="002F5D34">
        <w:rPr>
          <w:rFonts w:asciiTheme="minorHAnsi" w:hAnsiTheme="minorHAnsi"/>
          <w:lang w:val="en-GB"/>
        </w:rPr>
        <w:lastRenderedPageBreak/>
        <w:t>proposed project, and to measure its chances of success</w:t>
      </w:r>
      <w:r w:rsidR="006B31D9" w:rsidRPr="00EB5AD5">
        <w:rPr>
          <w:rFonts w:asciiTheme="minorHAnsi" w:hAnsiTheme="minorHAnsi"/>
          <w:lang w:val="en-GB"/>
        </w:rPr>
        <w:t xml:space="preserve">. </w:t>
      </w:r>
      <w:r w:rsidR="00537628">
        <w:rPr>
          <w:rFonts w:asciiTheme="minorHAnsi" w:hAnsiTheme="minorHAnsi"/>
          <w:lang w:val="en-GB"/>
        </w:rPr>
        <w:t xml:space="preserve">Private </w:t>
      </w:r>
      <w:r w:rsidR="009821BB">
        <w:rPr>
          <w:rFonts w:asciiTheme="minorHAnsi" w:hAnsiTheme="minorHAnsi"/>
          <w:lang w:val="en-GB"/>
        </w:rPr>
        <w:t>lenders will be reluctant to finance a project without guarantees.</w:t>
      </w:r>
    </w:p>
    <w:p w14:paraId="4AABC730" w14:textId="77777777" w:rsidR="0076168E" w:rsidRDefault="0076168E" w:rsidP="0076168E">
      <w:pPr>
        <w:pStyle w:val="ListParagraph"/>
        <w:ind w:left="426"/>
        <w:rPr>
          <w:rFonts w:asciiTheme="minorHAnsi" w:hAnsiTheme="minorHAnsi"/>
          <w:b/>
          <w:lang w:val="en-GB"/>
        </w:rPr>
      </w:pPr>
    </w:p>
    <w:p w14:paraId="2C730A4E" w14:textId="706ED1BE" w:rsidR="006B31D9" w:rsidRPr="006B31D9" w:rsidRDefault="00B96D33" w:rsidP="006B31D9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L</w:t>
      </w:r>
      <w:r w:rsidR="0076168E">
        <w:rPr>
          <w:rFonts w:asciiTheme="minorHAnsi" w:hAnsiTheme="minorHAnsi"/>
          <w:b/>
          <w:lang w:val="en-GB"/>
        </w:rPr>
        <w:t>egislative framework</w:t>
      </w:r>
    </w:p>
    <w:p w14:paraId="602083AF" w14:textId="77777777" w:rsidR="006B31D9" w:rsidRDefault="006B31D9" w:rsidP="00313D96">
      <w:pPr>
        <w:pStyle w:val="ListParagraph"/>
        <w:ind w:left="426"/>
        <w:rPr>
          <w:rFonts w:asciiTheme="minorHAnsi" w:hAnsiTheme="minorHAnsi"/>
          <w:lang w:val="en-GB"/>
        </w:rPr>
      </w:pPr>
    </w:p>
    <w:p w14:paraId="553F426B" w14:textId="76E3F62F" w:rsidR="00B96D33" w:rsidRPr="00B96D33" w:rsidRDefault="00B96D33" w:rsidP="00313D96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Prohibitive regulations</w:t>
      </w:r>
    </w:p>
    <w:p w14:paraId="28F68D7E" w14:textId="62934DB0" w:rsidR="00673915" w:rsidRDefault="00F00D7F" w:rsidP="00313D96">
      <w:pPr>
        <w:pStyle w:val="ListParagraph"/>
        <w:ind w:left="426"/>
        <w:rPr>
          <w:rFonts w:asciiTheme="minorHAnsi" w:hAnsiTheme="minorHAnsi"/>
          <w:lang w:val="en-GB"/>
        </w:rPr>
      </w:pPr>
      <w:r w:rsidRPr="006B31D9">
        <w:rPr>
          <w:rFonts w:asciiTheme="minorHAnsi" w:hAnsiTheme="minorHAnsi"/>
          <w:lang w:val="en-GB"/>
        </w:rPr>
        <w:t>EU l</w:t>
      </w:r>
      <w:r w:rsidR="000A0200" w:rsidRPr="006B31D9">
        <w:rPr>
          <w:rFonts w:asciiTheme="minorHAnsi" w:hAnsiTheme="minorHAnsi"/>
          <w:lang w:val="en-GB"/>
        </w:rPr>
        <w:t xml:space="preserve">egislation </w:t>
      </w:r>
      <w:r w:rsidRPr="006B31D9">
        <w:rPr>
          <w:rFonts w:asciiTheme="minorHAnsi" w:hAnsiTheme="minorHAnsi"/>
          <w:lang w:val="en-GB"/>
        </w:rPr>
        <w:t xml:space="preserve">and national legislation </w:t>
      </w:r>
      <w:r w:rsidR="000A0200" w:rsidRPr="006B31D9">
        <w:rPr>
          <w:rFonts w:asciiTheme="minorHAnsi" w:hAnsiTheme="minorHAnsi"/>
          <w:lang w:val="en-GB"/>
        </w:rPr>
        <w:t>can often even be</w:t>
      </w:r>
      <w:r w:rsidR="0076168E" w:rsidRPr="006B31D9">
        <w:rPr>
          <w:rFonts w:asciiTheme="minorHAnsi" w:hAnsiTheme="minorHAnsi"/>
          <w:lang w:val="en-GB"/>
        </w:rPr>
        <w:t xml:space="preserve"> prohibitive or counterproductive</w:t>
      </w:r>
      <w:r w:rsidR="000A0200" w:rsidRPr="006B31D9">
        <w:rPr>
          <w:rFonts w:asciiTheme="minorHAnsi" w:hAnsiTheme="minorHAnsi"/>
          <w:lang w:val="en-GB"/>
        </w:rPr>
        <w:t>.</w:t>
      </w:r>
      <w:r w:rsidR="00140867">
        <w:rPr>
          <w:rFonts w:asciiTheme="minorHAnsi" w:hAnsiTheme="minorHAnsi"/>
          <w:lang w:val="en-GB"/>
        </w:rPr>
        <w:t xml:space="preserve"> </w:t>
      </w:r>
      <w:r w:rsidR="00FF3E7E">
        <w:rPr>
          <w:rFonts w:asciiTheme="minorHAnsi" w:hAnsiTheme="minorHAnsi"/>
          <w:lang w:val="en-GB"/>
        </w:rPr>
        <w:t>The decision</w:t>
      </w:r>
      <w:r w:rsidR="000F27E8">
        <w:rPr>
          <w:rFonts w:asciiTheme="minorHAnsi" w:hAnsiTheme="minorHAnsi"/>
          <w:lang w:val="en-GB"/>
        </w:rPr>
        <w:t>-making</w:t>
      </w:r>
      <w:r w:rsidR="00FF3E7E">
        <w:rPr>
          <w:rFonts w:asciiTheme="minorHAnsi" w:hAnsiTheme="minorHAnsi"/>
          <w:lang w:val="en-GB"/>
        </w:rPr>
        <w:t xml:space="preserve"> process is</w:t>
      </w:r>
      <w:r w:rsidR="00140867">
        <w:rPr>
          <w:rFonts w:asciiTheme="minorHAnsi" w:hAnsiTheme="minorHAnsi"/>
          <w:lang w:val="en-GB"/>
        </w:rPr>
        <w:t xml:space="preserve"> too centralised</w:t>
      </w:r>
      <w:r w:rsidR="00FF3E7E">
        <w:rPr>
          <w:rFonts w:asciiTheme="minorHAnsi" w:hAnsiTheme="minorHAnsi"/>
          <w:lang w:val="en-GB"/>
        </w:rPr>
        <w:t xml:space="preserve">, and the resulting legislation </w:t>
      </w:r>
      <w:r w:rsidR="00140867">
        <w:rPr>
          <w:rFonts w:asciiTheme="minorHAnsi" w:hAnsiTheme="minorHAnsi"/>
          <w:lang w:val="en-GB"/>
        </w:rPr>
        <w:t>does not cater for local and regional</w:t>
      </w:r>
      <w:r w:rsidR="002E78D1">
        <w:rPr>
          <w:rFonts w:asciiTheme="minorHAnsi" w:hAnsiTheme="minorHAnsi"/>
          <w:lang w:val="en-GB"/>
        </w:rPr>
        <w:t xml:space="preserve"> specificities, or provide for a sufficiently localised operating framework. A pertinent example is t</w:t>
      </w:r>
      <w:r w:rsidR="00025F0D">
        <w:rPr>
          <w:rFonts w:asciiTheme="minorHAnsi" w:hAnsiTheme="minorHAnsi"/>
          <w:lang w:val="en-GB"/>
        </w:rPr>
        <w:t>hat of t</w:t>
      </w:r>
      <w:r w:rsidR="002E78D1">
        <w:rPr>
          <w:rFonts w:asciiTheme="minorHAnsi" w:hAnsiTheme="minorHAnsi"/>
          <w:lang w:val="en-GB"/>
        </w:rPr>
        <w:t xml:space="preserve">he </w:t>
      </w:r>
      <w:r w:rsidR="00FF4EEF">
        <w:rPr>
          <w:rFonts w:asciiTheme="minorHAnsi" w:hAnsiTheme="minorHAnsi"/>
          <w:lang w:val="en-GB"/>
        </w:rPr>
        <w:t>disproportionate charges</w:t>
      </w:r>
      <w:r w:rsidR="002E78D1">
        <w:rPr>
          <w:rFonts w:asciiTheme="minorHAnsi" w:hAnsiTheme="minorHAnsi"/>
          <w:lang w:val="en-GB"/>
        </w:rPr>
        <w:t xml:space="preserve"> </w:t>
      </w:r>
      <w:r w:rsidR="00FF4EEF">
        <w:rPr>
          <w:rFonts w:asciiTheme="minorHAnsi" w:hAnsiTheme="minorHAnsi"/>
          <w:lang w:val="en-GB"/>
        </w:rPr>
        <w:t xml:space="preserve">often </w:t>
      </w:r>
      <w:r w:rsidR="002E78D1">
        <w:rPr>
          <w:rFonts w:asciiTheme="minorHAnsi" w:hAnsiTheme="minorHAnsi"/>
          <w:lang w:val="en-GB"/>
        </w:rPr>
        <w:t>encountered by NSAs partic</w:t>
      </w:r>
      <w:r w:rsidR="00F84C7F">
        <w:rPr>
          <w:rFonts w:asciiTheme="minorHAnsi" w:hAnsiTheme="minorHAnsi"/>
          <w:lang w:val="en-GB"/>
        </w:rPr>
        <w:t>ipating in</w:t>
      </w:r>
      <w:r w:rsidR="002E78D1">
        <w:rPr>
          <w:rFonts w:asciiTheme="minorHAnsi" w:hAnsiTheme="minorHAnsi"/>
          <w:lang w:val="en-GB"/>
        </w:rPr>
        <w:t xml:space="preserve"> </w:t>
      </w:r>
      <w:r w:rsidR="00FF4EEF">
        <w:rPr>
          <w:rFonts w:asciiTheme="minorHAnsi" w:hAnsiTheme="minorHAnsi"/>
          <w:lang w:val="en-GB"/>
        </w:rPr>
        <w:t xml:space="preserve">self-generation of </w:t>
      </w:r>
      <w:r w:rsidR="002E78D1">
        <w:rPr>
          <w:rFonts w:asciiTheme="minorHAnsi" w:hAnsiTheme="minorHAnsi"/>
          <w:lang w:val="en-GB"/>
        </w:rPr>
        <w:t xml:space="preserve">renewable energy </w:t>
      </w:r>
      <w:r w:rsidR="00F84C7F">
        <w:rPr>
          <w:rFonts w:asciiTheme="minorHAnsi" w:hAnsiTheme="minorHAnsi"/>
          <w:lang w:val="en-GB"/>
        </w:rPr>
        <w:t>at a local and community level</w:t>
      </w:r>
      <w:r w:rsidR="002E78D1">
        <w:rPr>
          <w:rFonts w:asciiTheme="minorHAnsi" w:hAnsiTheme="minorHAnsi"/>
          <w:lang w:val="en-GB"/>
        </w:rPr>
        <w:t>.</w:t>
      </w:r>
      <w:r w:rsidR="00B61175" w:rsidRPr="00B61175">
        <w:rPr>
          <w:rStyle w:val="FootnoteReference"/>
          <w:rFonts w:asciiTheme="minorHAnsi" w:hAnsiTheme="minorHAnsi"/>
          <w:lang w:val="en-GB"/>
        </w:rPr>
        <w:t xml:space="preserve"> </w:t>
      </w:r>
      <w:r w:rsidR="00231449">
        <w:rPr>
          <w:rFonts w:asciiTheme="minorHAnsi" w:hAnsiTheme="minorHAnsi"/>
          <w:lang w:val="en-GB"/>
        </w:rPr>
        <w:t xml:space="preserve">Actors in other fields experience specific regulatory barriers that only apply to their particular context, such as construction </w:t>
      </w:r>
      <w:r w:rsidR="009200DF">
        <w:rPr>
          <w:rFonts w:asciiTheme="minorHAnsi" w:hAnsiTheme="minorHAnsi"/>
          <w:lang w:val="en-GB"/>
        </w:rPr>
        <w:t xml:space="preserve">or food </w:t>
      </w:r>
      <w:r w:rsidR="00231449">
        <w:rPr>
          <w:rFonts w:asciiTheme="minorHAnsi" w:hAnsiTheme="minorHAnsi"/>
          <w:lang w:val="en-GB"/>
        </w:rPr>
        <w:t>regulations</w:t>
      </w:r>
      <w:r w:rsidR="009200DF">
        <w:rPr>
          <w:rFonts w:asciiTheme="minorHAnsi" w:hAnsiTheme="minorHAnsi"/>
          <w:lang w:val="en-GB"/>
        </w:rPr>
        <w:t>, or regulations imposing a certain organisational structure or legal status.</w:t>
      </w:r>
      <w:r w:rsidR="00231449">
        <w:rPr>
          <w:rFonts w:asciiTheme="minorHAnsi" w:hAnsiTheme="minorHAnsi"/>
          <w:lang w:val="en-GB"/>
        </w:rPr>
        <w:t xml:space="preserve"> </w:t>
      </w:r>
      <w:r w:rsidR="00B81AAD">
        <w:rPr>
          <w:rFonts w:asciiTheme="minorHAnsi" w:hAnsiTheme="minorHAnsi"/>
          <w:lang w:val="en-GB"/>
        </w:rPr>
        <w:t>Compliance with these rules would be cost-prohibitive for smaller entities.</w:t>
      </w:r>
    </w:p>
    <w:p w14:paraId="0CA54D86" w14:textId="77777777" w:rsidR="00673915" w:rsidRDefault="00673915" w:rsidP="00313D96">
      <w:pPr>
        <w:pStyle w:val="ListParagraph"/>
        <w:ind w:left="426"/>
        <w:rPr>
          <w:rFonts w:asciiTheme="minorHAnsi" w:hAnsiTheme="minorHAnsi"/>
          <w:lang w:val="en-GB"/>
        </w:rPr>
      </w:pPr>
    </w:p>
    <w:p w14:paraId="226857D2" w14:textId="17FDD89A" w:rsidR="00B96D33" w:rsidRPr="00B96D33" w:rsidRDefault="00B96D33" w:rsidP="00313D96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Complex regulatory requirements</w:t>
      </w:r>
    </w:p>
    <w:p w14:paraId="2F349F06" w14:textId="1CC5D9A7" w:rsidR="0076168E" w:rsidRDefault="00182995" w:rsidP="00313D96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As mentioned in 1. above, the complexity of repor</w:t>
      </w:r>
      <w:r w:rsidR="00B81AAD">
        <w:rPr>
          <w:rFonts w:asciiTheme="minorHAnsi" w:hAnsiTheme="minorHAnsi"/>
          <w:lang w:val="en-GB"/>
        </w:rPr>
        <w:t>ting requirements is unnecessarily punitive</w:t>
      </w:r>
      <w:r>
        <w:rPr>
          <w:rFonts w:asciiTheme="minorHAnsi" w:hAnsiTheme="minorHAnsi"/>
          <w:lang w:val="en-GB"/>
        </w:rPr>
        <w:t xml:space="preserve"> for smaller NSAs proposing simple low-budget projects. These structures are unlikely to have the financial or human resources or the expertise to fulfil such requirements.</w:t>
      </w:r>
      <w:r w:rsidR="00841788">
        <w:rPr>
          <w:rFonts w:asciiTheme="minorHAnsi" w:hAnsiTheme="minorHAnsi"/>
          <w:lang w:val="en-GB"/>
        </w:rPr>
        <w:t xml:space="preserve"> In the case of public NSAs, EU regulations</w:t>
      </w:r>
      <w:r w:rsidR="00785C6D">
        <w:rPr>
          <w:rFonts w:asciiTheme="minorHAnsi" w:hAnsiTheme="minorHAnsi"/>
          <w:lang w:val="en-GB"/>
        </w:rPr>
        <w:t xml:space="preserve"> on state aid and accounting can be strict and similarly prohibitive.</w:t>
      </w:r>
    </w:p>
    <w:p w14:paraId="36F4137D" w14:textId="77777777" w:rsidR="00FF3E7E" w:rsidRDefault="00FF3E7E" w:rsidP="00313D96">
      <w:pPr>
        <w:pStyle w:val="ListParagraph"/>
        <w:ind w:left="426"/>
        <w:rPr>
          <w:rFonts w:asciiTheme="minorHAnsi" w:hAnsiTheme="minorHAnsi"/>
          <w:lang w:val="en-GB"/>
        </w:rPr>
      </w:pPr>
    </w:p>
    <w:p w14:paraId="006B401A" w14:textId="2D86C2BE" w:rsidR="00B96D33" w:rsidRPr="00B96D33" w:rsidRDefault="00B96D33" w:rsidP="00313D96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Lack of participatory approaches to the decision-making processes</w:t>
      </w:r>
    </w:p>
    <w:p w14:paraId="4C9C72F5" w14:textId="455E324B" w:rsidR="00FF3E7E" w:rsidRPr="00313D96" w:rsidRDefault="00FF3E7E" w:rsidP="00313D96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EU consultation </w:t>
      </w:r>
      <w:r w:rsidR="0059292D">
        <w:rPr>
          <w:rFonts w:asciiTheme="minorHAnsi" w:hAnsiTheme="minorHAnsi"/>
          <w:lang w:val="en-GB"/>
        </w:rPr>
        <w:t xml:space="preserve">mechanisms </w:t>
      </w:r>
      <w:r>
        <w:rPr>
          <w:rFonts w:asciiTheme="minorHAnsi" w:hAnsiTheme="minorHAnsi"/>
          <w:lang w:val="en-GB"/>
        </w:rPr>
        <w:t xml:space="preserve">on climate action policy and legislation </w:t>
      </w:r>
      <w:r w:rsidR="0059292D">
        <w:rPr>
          <w:rFonts w:asciiTheme="minorHAnsi" w:hAnsiTheme="minorHAnsi"/>
          <w:lang w:val="en-GB"/>
        </w:rPr>
        <w:t>are</w:t>
      </w:r>
      <w:r>
        <w:rPr>
          <w:rFonts w:asciiTheme="minorHAnsi" w:hAnsiTheme="minorHAnsi"/>
          <w:lang w:val="en-GB"/>
        </w:rPr>
        <w:t xml:space="preserve"> not sufficiently participatory, through inadequate communication with the public and visibility of </w:t>
      </w:r>
      <w:r w:rsidR="00EA554D">
        <w:rPr>
          <w:rFonts w:asciiTheme="minorHAnsi" w:hAnsiTheme="minorHAnsi"/>
          <w:lang w:val="en-GB"/>
        </w:rPr>
        <w:t>the process, and therefore lack</w:t>
      </w:r>
      <w:r>
        <w:rPr>
          <w:rFonts w:asciiTheme="minorHAnsi" w:hAnsiTheme="minorHAnsi"/>
          <w:lang w:val="en-GB"/>
        </w:rPr>
        <w:t xml:space="preserve"> public input and transparency.</w:t>
      </w:r>
    </w:p>
    <w:p w14:paraId="333B91BB" w14:textId="77777777" w:rsidR="0076168E" w:rsidRDefault="0076168E" w:rsidP="0076168E">
      <w:pPr>
        <w:pStyle w:val="ListParagraph"/>
        <w:ind w:left="426"/>
        <w:rPr>
          <w:rFonts w:asciiTheme="minorHAnsi" w:hAnsiTheme="minorHAnsi"/>
          <w:b/>
          <w:lang w:val="en-GB"/>
        </w:rPr>
      </w:pPr>
    </w:p>
    <w:p w14:paraId="7C91E643" w14:textId="205ABC8E" w:rsidR="00313D96" w:rsidRDefault="00B96D33" w:rsidP="00313D96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S</w:t>
      </w:r>
      <w:r w:rsidR="000A0200">
        <w:rPr>
          <w:rFonts w:asciiTheme="minorHAnsi" w:hAnsiTheme="minorHAnsi"/>
          <w:b/>
          <w:lang w:val="en-GB"/>
        </w:rPr>
        <w:t xml:space="preserve">ystemic </w:t>
      </w:r>
      <w:r w:rsidR="00044E9C">
        <w:rPr>
          <w:rFonts w:asciiTheme="minorHAnsi" w:hAnsiTheme="minorHAnsi"/>
          <w:b/>
          <w:lang w:val="en-GB"/>
        </w:rPr>
        <w:t xml:space="preserve">support </w:t>
      </w:r>
      <w:r w:rsidR="0076168E">
        <w:rPr>
          <w:rFonts w:asciiTheme="minorHAnsi" w:hAnsiTheme="minorHAnsi"/>
          <w:b/>
          <w:lang w:val="en-GB"/>
        </w:rPr>
        <w:t>at E</w:t>
      </w:r>
      <w:r w:rsidR="000A0200">
        <w:rPr>
          <w:rFonts w:asciiTheme="minorHAnsi" w:hAnsiTheme="minorHAnsi"/>
          <w:b/>
          <w:lang w:val="en-GB"/>
        </w:rPr>
        <w:t>U</w:t>
      </w:r>
      <w:r w:rsidR="0076168E">
        <w:rPr>
          <w:rFonts w:asciiTheme="minorHAnsi" w:hAnsiTheme="minorHAnsi"/>
          <w:b/>
          <w:lang w:val="en-GB"/>
        </w:rPr>
        <w:t xml:space="preserve"> </w:t>
      </w:r>
      <w:r w:rsidR="00044E9C">
        <w:rPr>
          <w:rFonts w:asciiTheme="minorHAnsi" w:hAnsiTheme="minorHAnsi"/>
          <w:b/>
          <w:lang w:val="en-GB"/>
        </w:rPr>
        <w:t xml:space="preserve">and national </w:t>
      </w:r>
      <w:r w:rsidR="0076168E">
        <w:rPr>
          <w:rFonts w:asciiTheme="minorHAnsi" w:hAnsiTheme="minorHAnsi"/>
          <w:b/>
          <w:lang w:val="en-GB"/>
        </w:rPr>
        <w:t>level</w:t>
      </w:r>
    </w:p>
    <w:p w14:paraId="7B807373" w14:textId="77777777" w:rsidR="00313D96" w:rsidRDefault="00313D96" w:rsidP="00313D96">
      <w:pPr>
        <w:pStyle w:val="ListParagraph"/>
        <w:ind w:left="426"/>
        <w:rPr>
          <w:rFonts w:asciiTheme="minorHAnsi" w:hAnsiTheme="minorHAnsi"/>
          <w:b/>
          <w:lang w:val="en-GB"/>
        </w:rPr>
      </w:pPr>
    </w:p>
    <w:p w14:paraId="3571D45D" w14:textId="6AECD24E" w:rsidR="00B96D33" w:rsidRPr="00B96D33" w:rsidRDefault="00B96D33" w:rsidP="00313D96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 xml:space="preserve">Short-termism </w:t>
      </w:r>
    </w:p>
    <w:p w14:paraId="474ECD42" w14:textId="1F485857" w:rsidR="00313D96" w:rsidRDefault="000A0200" w:rsidP="00313D96">
      <w:pPr>
        <w:pStyle w:val="ListParagraph"/>
        <w:ind w:left="426"/>
        <w:rPr>
          <w:rFonts w:asciiTheme="minorHAnsi" w:hAnsiTheme="minorHAnsi"/>
          <w:lang w:val="en-GB"/>
        </w:rPr>
      </w:pPr>
      <w:r w:rsidRPr="00313D96">
        <w:rPr>
          <w:rFonts w:asciiTheme="minorHAnsi" w:hAnsiTheme="minorHAnsi"/>
          <w:lang w:val="en-GB"/>
        </w:rPr>
        <w:t>The p</w:t>
      </w:r>
      <w:r w:rsidR="0076168E" w:rsidRPr="00313D96">
        <w:rPr>
          <w:rFonts w:asciiTheme="minorHAnsi" w:hAnsiTheme="minorHAnsi"/>
          <w:lang w:val="en-GB"/>
        </w:rPr>
        <w:t>olitical agenda</w:t>
      </w:r>
      <w:r w:rsidR="00313D96">
        <w:rPr>
          <w:rFonts w:asciiTheme="minorHAnsi" w:hAnsiTheme="minorHAnsi"/>
          <w:lang w:val="en-GB"/>
        </w:rPr>
        <w:t xml:space="preserve"> </w:t>
      </w:r>
      <w:r w:rsidR="00B96D33">
        <w:rPr>
          <w:rFonts w:asciiTheme="minorHAnsi" w:hAnsiTheme="minorHAnsi"/>
          <w:lang w:val="en-GB"/>
        </w:rPr>
        <w:t xml:space="preserve">on national level </w:t>
      </w:r>
      <w:r w:rsidR="00313D96">
        <w:rPr>
          <w:rFonts w:asciiTheme="minorHAnsi" w:hAnsiTheme="minorHAnsi"/>
          <w:lang w:val="en-GB"/>
        </w:rPr>
        <w:t>with respect to climate change</w:t>
      </w:r>
      <w:r w:rsidR="0076168E" w:rsidRPr="00313D96">
        <w:rPr>
          <w:rFonts w:asciiTheme="minorHAnsi" w:hAnsiTheme="minorHAnsi"/>
          <w:lang w:val="en-GB"/>
        </w:rPr>
        <w:t xml:space="preserve"> is often short-term</w:t>
      </w:r>
      <w:r w:rsidR="00313D96">
        <w:rPr>
          <w:rFonts w:asciiTheme="minorHAnsi" w:hAnsiTheme="minorHAnsi"/>
          <w:lang w:val="en-GB"/>
        </w:rPr>
        <w:t xml:space="preserve">, and strategies may only be </w:t>
      </w:r>
      <w:r w:rsidR="00DA01EA">
        <w:rPr>
          <w:rFonts w:asciiTheme="minorHAnsi" w:hAnsiTheme="minorHAnsi"/>
          <w:lang w:val="en-GB"/>
        </w:rPr>
        <w:t>deployed</w:t>
      </w:r>
      <w:r w:rsidR="00313D96">
        <w:rPr>
          <w:rFonts w:asciiTheme="minorHAnsi" w:hAnsiTheme="minorHAnsi"/>
          <w:lang w:val="en-GB"/>
        </w:rPr>
        <w:t xml:space="preserve"> for the duration of the mandate in which they are agreed. There is consequently</w:t>
      </w:r>
      <w:r w:rsidR="0076168E" w:rsidRPr="00313D96">
        <w:rPr>
          <w:rFonts w:asciiTheme="minorHAnsi" w:hAnsiTheme="minorHAnsi"/>
          <w:lang w:val="en-GB"/>
        </w:rPr>
        <w:t xml:space="preserve"> no long-term </w:t>
      </w:r>
      <w:r w:rsidRPr="00313D96">
        <w:rPr>
          <w:rFonts w:asciiTheme="minorHAnsi" w:hAnsiTheme="minorHAnsi"/>
          <w:lang w:val="en-GB"/>
        </w:rPr>
        <w:t xml:space="preserve">vision or </w:t>
      </w:r>
      <w:r w:rsidR="0076168E" w:rsidRPr="00313D96">
        <w:rPr>
          <w:rFonts w:asciiTheme="minorHAnsi" w:hAnsiTheme="minorHAnsi"/>
          <w:lang w:val="en-GB"/>
        </w:rPr>
        <w:t>continuity</w:t>
      </w:r>
      <w:r w:rsidRPr="00313D96">
        <w:rPr>
          <w:rFonts w:asciiTheme="minorHAnsi" w:hAnsiTheme="minorHAnsi"/>
          <w:lang w:val="en-GB"/>
        </w:rPr>
        <w:t>.</w:t>
      </w:r>
    </w:p>
    <w:p w14:paraId="6EF14A64" w14:textId="77777777" w:rsidR="00313D96" w:rsidRDefault="00313D96" w:rsidP="00313D96">
      <w:pPr>
        <w:pStyle w:val="ListParagraph"/>
        <w:ind w:left="426"/>
        <w:rPr>
          <w:rFonts w:asciiTheme="minorHAnsi" w:hAnsiTheme="minorHAnsi"/>
          <w:lang w:val="en-GB"/>
        </w:rPr>
      </w:pPr>
    </w:p>
    <w:p w14:paraId="1A4CECC1" w14:textId="142369AE" w:rsidR="00B96D33" w:rsidRPr="00B96D33" w:rsidRDefault="00B96D33" w:rsidP="00313D96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Lack of recognition</w:t>
      </w:r>
    </w:p>
    <w:p w14:paraId="145DAE79" w14:textId="19FEC6BE" w:rsidR="00313D96" w:rsidRDefault="00DA01EA" w:rsidP="00313D96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There is currently no clear overview of </w:t>
      </w:r>
      <w:r w:rsidR="0059292D">
        <w:rPr>
          <w:rFonts w:asciiTheme="minorHAnsi" w:hAnsiTheme="minorHAnsi"/>
          <w:lang w:val="en-GB"/>
        </w:rPr>
        <w:t xml:space="preserve">existing </w:t>
      </w:r>
      <w:r>
        <w:rPr>
          <w:rFonts w:asciiTheme="minorHAnsi" w:hAnsiTheme="minorHAnsi"/>
          <w:lang w:val="en-GB"/>
        </w:rPr>
        <w:t xml:space="preserve">non-state </w:t>
      </w:r>
      <w:r w:rsidR="006F142D">
        <w:rPr>
          <w:rFonts w:asciiTheme="minorHAnsi" w:hAnsiTheme="minorHAnsi"/>
          <w:lang w:val="en-GB"/>
        </w:rPr>
        <w:t xml:space="preserve">and subnational </w:t>
      </w:r>
      <w:r>
        <w:rPr>
          <w:rFonts w:asciiTheme="minorHAnsi" w:hAnsiTheme="minorHAnsi"/>
          <w:lang w:val="en-GB"/>
        </w:rPr>
        <w:t xml:space="preserve">action in Europe, or potential areas of involvement for NSAs. </w:t>
      </w:r>
      <w:r w:rsidR="00313D96">
        <w:rPr>
          <w:rFonts w:asciiTheme="minorHAnsi" w:hAnsiTheme="minorHAnsi"/>
          <w:lang w:val="en-GB"/>
        </w:rPr>
        <w:t xml:space="preserve">As the number of climate change actions at </w:t>
      </w:r>
      <w:r w:rsidR="006F142D">
        <w:rPr>
          <w:rFonts w:asciiTheme="minorHAnsi" w:hAnsiTheme="minorHAnsi"/>
          <w:lang w:val="en-GB"/>
        </w:rPr>
        <w:t>these</w:t>
      </w:r>
      <w:r w:rsidR="00313D96">
        <w:rPr>
          <w:rFonts w:asciiTheme="minorHAnsi" w:hAnsiTheme="minorHAnsi"/>
          <w:lang w:val="en-GB"/>
        </w:rPr>
        <w:t xml:space="preserve"> level</w:t>
      </w:r>
      <w:r w:rsidR="006F142D">
        <w:rPr>
          <w:rFonts w:asciiTheme="minorHAnsi" w:hAnsiTheme="minorHAnsi"/>
          <w:lang w:val="en-GB"/>
        </w:rPr>
        <w:t>s</w:t>
      </w:r>
      <w:r w:rsidR="00313D96">
        <w:rPr>
          <w:rFonts w:asciiTheme="minorHAnsi" w:hAnsiTheme="minorHAnsi"/>
          <w:lang w:val="en-GB"/>
        </w:rPr>
        <w:t xml:space="preserve"> continues to grow, t</w:t>
      </w:r>
      <w:r w:rsidR="000A0200">
        <w:rPr>
          <w:rFonts w:asciiTheme="minorHAnsi" w:hAnsiTheme="minorHAnsi"/>
          <w:lang w:val="en-GB"/>
        </w:rPr>
        <w:t>here is a n</w:t>
      </w:r>
      <w:r w:rsidR="000A0200" w:rsidRPr="0020739F">
        <w:rPr>
          <w:rFonts w:asciiTheme="minorHAnsi" w:hAnsiTheme="minorHAnsi"/>
          <w:lang w:val="en-GB"/>
        </w:rPr>
        <w:t xml:space="preserve">eed to recognise </w:t>
      </w:r>
      <w:r w:rsidR="00313D96">
        <w:rPr>
          <w:rFonts w:asciiTheme="minorHAnsi" w:hAnsiTheme="minorHAnsi"/>
          <w:lang w:val="en-GB"/>
        </w:rPr>
        <w:t>a corresponding growth in</w:t>
      </w:r>
      <w:r w:rsidR="000A0200" w:rsidRPr="0020739F">
        <w:rPr>
          <w:rFonts w:asciiTheme="minorHAnsi" w:hAnsiTheme="minorHAnsi"/>
          <w:lang w:val="en-GB"/>
        </w:rPr>
        <w:t xml:space="preserve"> diversity amongst NSAs and their actions</w:t>
      </w:r>
      <w:r w:rsidR="001557C5">
        <w:rPr>
          <w:rFonts w:asciiTheme="minorHAnsi" w:hAnsiTheme="minorHAnsi"/>
          <w:lang w:val="en-GB"/>
        </w:rPr>
        <w:t xml:space="preserve">, </w:t>
      </w:r>
      <w:r w:rsidR="00313D96">
        <w:rPr>
          <w:rFonts w:asciiTheme="minorHAnsi" w:hAnsiTheme="minorHAnsi"/>
          <w:lang w:val="en-GB"/>
        </w:rPr>
        <w:t>and to tailor the policy framework accordingly</w:t>
      </w:r>
      <w:r w:rsidR="00B018AB">
        <w:rPr>
          <w:rFonts w:asciiTheme="minorHAnsi" w:hAnsiTheme="minorHAnsi"/>
          <w:lang w:val="en-GB"/>
        </w:rPr>
        <w:t>.</w:t>
      </w:r>
    </w:p>
    <w:p w14:paraId="02BE89D1" w14:textId="77777777" w:rsidR="00313D96" w:rsidRDefault="00313D96" w:rsidP="00313D96">
      <w:pPr>
        <w:pStyle w:val="ListParagraph"/>
        <w:ind w:left="426"/>
        <w:rPr>
          <w:rFonts w:asciiTheme="minorHAnsi" w:hAnsiTheme="minorHAnsi"/>
          <w:lang w:val="en-GB"/>
        </w:rPr>
      </w:pPr>
    </w:p>
    <w:p w14:paraId="2D99E937" w14:textId="0494B4E2" w:rsidR="00B96D33" w:rsidRPr="00B96D33" w:rsidRDefault="00B96D33" w:rsidP="00313D96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Disconnect between governance levels</w:t>
      </w:r>
    </w:p>
    <w:p w14:paraId="56184750" w14:textId="57BA18A3" w:rsidR="00CD5AA3" w:rsidRPr="00DA01EA" w:rsidRDefault="000A0200" w:rsidP="00DA01EA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There is no</w:t>
      </w:r>
      <w:r w:rsidRPr="000A0200">
        <w:rPr>
          <w:rFonts w:asciiTheme="minorHAnsi" w:hAnsiTheme="minorHAnsi"/>
          <w:lang w:val="en-GB"/>
        </w:rPr>
        <w:t xml:space="preserve"> </w:t>
      </w:r>
      <w:r w:rsidR="00313D96">
        <w:rPr>
          <w:rFonts w:asciiTheme="minorHAnsi" w:hAnsiTheme="minorHAnsi"/>
          <w:lang w:val="en-GB"/>
        </w:rPr>
        <w:t xml:space="preserve">real </w:t>
      </w:r>
      <w:r w:rsidRPr="000A0200">
        <w:rPr>
          <w:rFonts w:asciiTheme="minorHAnsi" w:hAnsiTheme="minorHAnsi"/>
          <w:lang w:val="en-GB"/>
        </w:rPr>
        <w:t xml:space="preserve">integration </w:t>
      </w:r>
      <w:r w:rsidR="00313D96">
        <w:rPr>
          <w:rFonts w:asciiTheme="minorHAnsi" w:hAnsiTheme="minorHAnsi"/>
          <w:lang w:val="en-GB"/>
        </w:rPr>
        <w:t xml:space="preserve">into policy at a national or supranational level </w:t>
      </w:r>
      <w:r w:rsidRPr="000A0200">
        <w:rPr>
          <w:rFonts w:asciiTheme="minorHAnsi" w:hAnsiTheme="minorHAnsi"/>
          <w:lang w:val="en-GB"/>
        </w:rPr>
        <w:t xml:space="preserve">of </w:t>
      </w:r>
      <w:r>
        <w:rPr>
          <w:rFonts w:asciiTheme="minorHAnsi" w:hAnsiTheme="minorHAnsi"/>
          <w:lang w:val="en-GB"/>
        </w:rPr>
        <w:t xml:space="preserve">the </w:t>
      </w:r>
      <w:r w:rsidR="00DA01EA">
        <w:rPr>
          <w:rFonts w:asciiTheme="minorHAnsi" w:hAnsiTheme="minorHAnsi"/>
          <w:lang w:val="en-GB"/>
        </w:rPr>
        <w:t xml:space="preserve">bottom-up </w:t>
      </w:r>
      <w:r w:rsidRPr="00DA01EA">
        <w:rPr>
          <w:rFonts w:asciiTheme="minorHAnsi" w:hAnsiTheme="minorHAnsi"/>
          <w:lang w:val="en-GB"/>
        </w:rPr>
        <w:t xml:space="preserve">approach or </w:t>
      </w:r>
      <w:r w:rsidR="00313D96" w:rsidRPr="00DA01EA">
        <w:rPr>
          <w:rFonts w:asciiTheme="minorHAnsi" w:hAnsiTheme="minorHAnsi"/>
          <w:lang w:val="en-GB"/>
        </w:rPr>
        <w:t xml:space="preserve">the concept </w:t>
      </w:r>
      <w:r w:rsidRPr="00DA01EA">
        <w:rPr>
          <w:rFonts w:asciiTheme="minorHAnsi" w:hAnsiTheme="minorHAnsi"/>
          <w:lang w:val="en-GB"/>
        </w:rPr>
        <w:t>"think global, act local".</w:t>
      </w:r>
      <w:r w:rsidR="00044E9C">
        <w:rPr>
          <w:rFonts w:asciiTheme="minorHAnsi" w:hAnsiTheme="minorHAnsi"/>
          <w:lang w:val="en-GB"/>
        </w:rPr>
        <w:t xml:space="preserve"> NSAs lack visibility at the decision-making level, and while the significance of their role is gaining increasing public acknowledgment, it has yet to be properly taken into account in EU and national climate strategy.</w:t>
      </w:r>
    </w:p>
    <w:p w14:paraId="71432E27" w14:textId="77777777" w:rsidR="00CD5AA3" w:rsidRDefault="00CD5AA3" w:rsidP="00CD5AA3">
      <w:pPr>
        <w:pStyle w:val="ListParagraph"/>
        <w:ind w:left="426"/>
        <w:rPr>
          <w:rFonts w:asciiTheme="minorHAnsi" w:hAnsiTheme="minorHAnsi"/>
          <w:lang w:val="en-GB"/>
        </w:rPr>
      </w:pPr>
    </w:p>
    <w:p w14:paraId="57EBE3AB" w14:textId="041D4757" w:rsidR="00B96D33" w:rsidRPr="00B96D33" w:rsidRDefault="00B96D33" w:rsidP="00CD5AA3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Discouraging discourse</w:t>
      </w:r>
    </w:p>
    <w:p w14:paraId="5EEA115F" w14:textId="3242C123" w:rsidR="00111C23" w:rsidRPr="000A0200" w:rsidRDefault="003F00A9" w:rsidP="00CD5AA3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There is a</w:t>
      </w:r>
      <w:r w:rsidR="00CD5AA3">
        <w:rPr>
          <w:rFonts w:asciiTheme="minorHAnsi" w:hAnsiTheme="minorHAnsi"/>
          <w:lang w:val="en-GB"/>
        </w:rPr>
        <w:t>lso</w:t>
      </w:r>
      <w:r>
        <w:rPr>
          <w:rFonts w:asciiTheme="minorHAnsi" w:hAnsiTheme="minorHAnsi"/>
          <w:lang w:val="en-GB"/>
        </w:rPr>
        <w:t xml:space="preserve"> </w:t>
      </w:r>
      <w:r w:rsidR="00CD5AA3">
        <w:rPr>
          <w:rFonts w:asciiTheme="minorHAnsi" w:hAnsiTheme="minorHAnsi"/>
          <w:lang w:val="en-GB"/>
        </w:rPr>
        <w:t xml:space="preserve">a </w:t>
      </w:r>
      <w:r>
        <w:rPr>
          <w:rFonts w:asciiTheme="minorHAnsi" w:hAnsiTheme="minorHAnsi"/>
          <w:lang w:val="en-GB"/>
        </w:rPr>
        <w:t>perceived lack of</w:t>
      </w:r>
      <w:r w:rsidR="00111C23" w:rsidRPr="00111C23">
        <w:rPr>
          <w:rFonts w:asciiTheme="minorHAnsi" w:hAnsiTheme="minorHAnsi"/>
          <w:lang w:val="en-GB"/>
        </w:rPr>
        <w:t xml:space="preserve"> positive discourse with respect to climate action</w:t>
      </w:r>
      <w:r w:rsidR="00111C23">
        <w:rPr>
          <w:rFonts w:asciiTheme="minorHAnsi" w:hAnsiTheme="minorHAnsi"/>
          <w:lang w:val="en-GB"/>
        </w:rPr>
        <w:t>,</w:t>
      </w:r>
      <w:r w:rsidR="00111C23" w:rsidRPr="00111C23">
        <w:rPr>
          <w:rFonts w:asciiTheme="minorHAnsi" w:hAnsiTheme="minorHAnsi"/>
          <w:lang w:val="en-GB"/>
        </w:rPr>
        <w:t xml:space="preserve"> </w:t>
      </w:r>
      <w:r w:rsidR="00111C23">
        <w:rPr>
          <w:rFonts w:asciiTheme="minorHAnsi" w:hAnsiTheme="minorHAnsi"/>
          <w:lang w:val="en-GB"/>
        </w:rPr>
        <w:t xml:space="preserve">which can </w:t>
      </w:r>
      <w:r w:rsidR="009821BB">
        <w:rPr>
          <w:rFonts w:asciiTheme="minorHAnsi" w:hAnsiTheme="minorHAnsi"/>
          <w:lang w:val="en-GB"/>
        </w:rPr>
        <w:t xml:space="preserve">tend to focus on the potential sacrifices and losses of stakeholders, rather than emphasising the positive aspects and potential gains. This may </w:t>
      </w:r>
      <w:r w:rsidR="00111C23">
        <w:rPr>
          <w:rFonts w:asciiTheme="minorHAnsi" w:hAnsiTheme="minorHAnsi"/>
          <w:lang w:val="en-GB"/>
        </w:rPr>
        <w:t>lead</w:t>
      </w:r>
      <w:r w:rsidR="00111C23" w:rsidRPr="00C67DCF">
        <w:rPr>
          <w:rFonts w:asciiTheme="minorHAnsi" w:hAnsiTheme="minorHAnsi"/>
          <w:lang w:val="en-GB"/>
        </w:rPr>
        <w:t xml:space="preserve"> to a consequent l</w:t>
      </w:r>
      <w:r w:rsidR="00111C23">
        <w:rPr>
          <w:rFonts w:asciiTheme="minorHAnsi" w:hAnsiTheme="minorHAnsi"/>
          <w:lang w:val="en-GB"/>
        </w:rPr>
        <w:t>oss of</w:t>
      </w:r>
      <w:r w:rsidR="00111C23" w:rsidRPr="00C67DCF">
        <w:rPr>
          <w:rFonts w:asciiTheme="minorHAnsi" w:hAnsiTheme="minorHAnsi"/>
          <w:lang w:val="en-GB"/>
        </w:rPr>
        <w:t xml:space="preserve"> motivation </w:t>
      </w:r>
      <w:r w:rsidR="00111C23">
        <w:rPr>
          <w:rFonts w:asciiTheme="minorHAnsi" w:hAnsiTheme="minorHAnsi"/>
          <w:lang w:val="en-GB"/>
        </w:rPr>
        <w:t xml:space="preserve">from NSAs </w:t>
      </w:r>
      <w:r w:rsidR="00111C23" w:rsidRPr="00C67DCF">
        <w:rPr>
          <w:rFonts w:asciiTheme="minorHAnsi" w:hAnsiTheme="minorHAnsi"/>
          <w:lang w:val="en-GB"/>
        </w:rPr>
        <w:lastRenderedPageBreak/>
        <w:t xml:space="preserve">to commit </w:t>
      </w:r>
      <w:r w:rsidR="00111C23">
        <w:rPr>
          <w:rFonts w:asciiTheme="minorHAnsi" w:hAnsiTheme="minorHAnsi"/>
          <w:lang w:val="en-GB"/>
        </w:rPr>
        <w:t xml:space="preserve">their </w:t>
      </w:r>
      <w:r w:rsidR="004B3E62">
        <w:rPr>
          <w:rFonts w:asciiTheme="minorHAnsi" w:hAnsiTheme="minorHAnsi"/>
          <w:lang w:val="en-GB"/>
        </w:rPr>
        <w:t xml:space="preserve">own </w:t>
      </w:r>
      <w:r w:rsidR="00111C23" w:rsidRPr="00C67DCF">
        <w:rPr>
          <w:rFonts w:asciiTheme="minorHAnsi" w:hAnsiTheme="minorHAnsi"/>
          <w:lang w:val="en-GB"/>
        </w:rPr>
        <w:t>resources and time, if the</w:t>
      </w:r>
      <w:r w:rsidR="00111C23">
        <w:rPr>
          <w:rFonts w:asciiTheme="minorHAnsi" w:hAnsiTheme="minorHAnsi"/>
          <w:lang w:val="en-GB"/>
        </w:rPr>
        <w:t>y feel there</w:t>
      </w:r>
      <w:r w:rsidR="00111C23" w:rsidRPr="00C67DCF">
        <w:rPr>
          <w:rFonts w:asciiTheme="minorHAnsi" w:hAnsiTheme="minorHAnsi"/>
          <w:lang w:val="en-GB"/>
        </w:rPr>
        <w:t xml:space="preserve"> is no realistic chance of </w:t>
      </w:r>
      <w:r w:rsidR="00111C23">
        <w:rPr>
          <w:rFonts w:asciiTheme="minorHAnsi" w:hAnsiTheme="minorHAnsi"/>
          <w:lang w:val="en-GB"/>
        </w:rPr>
        <w:t xml:space="preserve">their actions having a </w:t>
      </w:r>
      <w:r w:rsidR="00111C23" w:rsidRPr="00C67DCF">
        <w:rPr>
          <w:rFonts w:asciiTheme="minorHAnsi" w:hAnsiTheme="minorHAnsi"/>
          <w:lang w:val="en-GB"/>
        </w:rPr>
        <w:t>positive</w:t>
      </w:r>
      <w:r w:rsidR="008C5E03">
        <w:rPr>
          <w:rFonts w:asciiTheme="minorHAnsi" w:hAnsiTheme="minorHAnsi"/>
          <w:lang w:val="en-GB"/>
        </w:rPr>
        <w:t xml:space="preserve"> and tangible</w:t>
      </w:r>
      <w:r w:rsidR="00111C23" w:rsidRPr="00C67DCF">
        <w:rPr>
          <w:rFonts w:asciiTheme="minorHAnsi" w:hAnsiTheme="minorHAnsi"/>
          <w:lang w:val="en-GB"/>
        </w:rPr>
        <w:t xml:space="preserve"> impact</w:t>
      </w:r>
      <w:r w:rsidR="00111C23">
        <w:rPr>
          <w:rFonts w:asciiTheme="minorHAnsi" w:hAnsiTheme="minorHAnsi"/>
          <w:lang w:val="en-GB"/>
        </w:rPr>
        <w:t>.</w:t>
      </w:r>
    </w:p>
    <w:p w14:paraId="08B21B0E" w14:textId="77777777" w:rsidR="0076168E" w:rsidRDefault="0076168E" w:rsidP="0076168E">
      <w:pPr>
        <w:pStyle w:val="ListParagraph"/>
        <w:ind w:left="1146"/>
        <w:rPr>
          <w:rFonts w:asciiTheme="minorHAnsi" w:hAnsiTheme="minorHAnsi"/>
          <w:lang w:val="en-GB"/>
        </w:rPr>
      </w:pPr>
    </w:p>
    <w:p w14:paraId="18D767A0" w14:textId="3BA78ED1" w:rsidR="00280E2E" w:rsidRDefault="00B96D33" w:rsidP="00280E2E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D</w:t>
      </w:r>
      <w:r w:rsidR="0076168E" w:rsidRPr="005F5D27">
        <w:rPr>
          <w:rFonts w:asciiTheme="minorHAnsi" w:hAnsiTheme="minorHAnsi"/>
          <w:b/>
          <w:lang w:val="en-GB"/>
        </w:rPr>
        <w:t xml:space="preserve">ialogue </w:t>
      </w:r>
      <w:r>
        <w:rPr>
          <w:rFonts w:asciiTheme="minorHAnsi" w:hAnsiTheme="minorHAnsi"/>
          <w:b/>
          <w:lang w:val="en-GB"/>
        </w:rPr>
        <w:t>and co-ordination</w:t>
      </w:r>
    </w:p>
    <w:p w14:paraId="4AAB997A" w14:textId="77777777" w:rsidR="00280E2E" w:rsidRDefault="00280E2E" w:rsidP="00280E2E">
      <w:pPr>
        <w:pStyle w:val="ListParagraph"/>
        <w:ind w:left="426"/>
        <w:rPr>
          <w:rFonts w:asciiTheme="minorHAnsi" w:hAnsiTheme="minorHAnsi"/>
          <w:b/>
          <w:lang w:val="en-GB"/>
        </w:rPr>
      </w:pPr>
    </w:p>
    <w:p w14:paraId="72468861" w14:textId="16EADEC9" w:rsidR="00B96D33" w:rsidRDefault="00B96D33" w:rsidP="00280E2E">
      <w:pPr>
        <w:pStyle w:val="ListParagraph"/>
        <w:ind w:left="426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Lack of coordination</w:t>
      </w:r>
    </w:p>
    <w:p w14:paraId="5B4E0281" w14:textId="35DB86C1" w:rsidR="00280E2E" w:rsidRDefault="00280E2E" w:rsidP="00280E2E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As evidenced by the first three points, there is a clear lack of communication and coordination between NSAs of all categories, na</w:t>
      </w:r>
      <w:r w:rsidR="003D20BC">
        <w:rPr>
          <w:rFonts w:asciiTheme="minorHAnsi" w:hAnsiTheme="minorHAnsi"/>
          <w:lang w:val="en-GB"/>
        </w:rPr>
        <w:t>tional and European authorities, and a consequent</w:t>
      </w:r>
      <w:r>
        <w:rPr>
          <w:rFonts w:asciiTheme="minorHAnsi" w:hAnsiTheme="minorHAnsi"/>
          <w:lang w:val="en-GB"/>
        </w:rPr>
        <w:t xml:space="preserve"> </w:t>
      </w:r>
      <w:r w:rsidR="00982273">
        <w:rPr>
          <w:rFonts w:asciiTheme="minorHAnsi" w:hAnsiTheme="minorHAnsi"/>
          <w:lang w:val="en-GB"/>
        </w:rPr>
        <w:t>absence of discussion</w:t>
      </w:r>
      <w:r>
        <w:rPr>
          <w:rFonts w:asciiTheme="minorHAnsi" w:hAnsiTheme="minorHAnsi"/>
          <w:lang w:val="en-GB"/>
        </w:rPr>
        <w:t xml:space="preserve"> </w:t>
      </w:r>
      <w:r w:rsidR="00982273">
        <w:rPr>
          <w:rFonts w:asciiTheme="minorHAnsi" w:hAnsiTheme="minorHAnsi"/>
          <w:lang w:val="en-GB"/>
        </w:rPr>
        <w:t xml:space="preserve">and </w:t>
      </w:r>
      <w:r w:rsidR="0035046B" w:rsidRPr="00280E2E">
        <w:rPr>
          <w:rFonts w:asciiTheme="minorHAnsi" w:hAnsiTheme="minorHAnsi"/>
          <w:lang w:val="en-GB"/>
        </w:rPr>
        <w:t>consensus</w:t>
      </w:r>
      <w:r w:rsidR="0076168E" w:rsidRPr="00280E2E">
        <w:rPr>
          <w:rFonts w:asciiTheme="minorHAnsi" w:hAnsiTheme="minorHAnsi"/>
          <w:lang w:val="en-GB"/>
        </w:rPr>
        <w:t xml:space="preserve"> on shared goals</w:t>
      </w:r>
      <w:r w:rsidR="000A0200" w:rsidRPr="00280E2E">
        <w:rPr>
          <w:rFonts w:asciiTheme="minorHAnsi" w:hAnsiTheme="minorHAnsi"/>
          <w:lang w:val="en-GB"/>
        </w:rPr>
        <w:t>.</w:t>
      </w:r>
      <w:r w:rsidR="003D20BC">
        <w:rPr>
          <w:rFonts w:asciiTheme="minorHAnsi" w:hAnsiTheme="minorHAnsi"/>
          <w:lang w:val="en-GB"/>
        </w:rPr>
        <w:t xml:space="preserve"> Databases are not connected and consolidated, and climate data at national and international level therefore does not necessarily include local data.</w:t>
      </w:r>
    </w:p>
    <w:p w14:paraId="019FBBFD" w14:textId="77777777" w:rsidR="00280E2E" w:rsidRDefault="00280E2E" w:rsidP="00280E2E">
      <w:pPr>
        <w:pStyle w:val="ListParagraph"/>
        <w:ind w:left="426"/>
        <w:rPr>
          <w:rFonts w:asciiTheme="minorHAnsi" w:hAnsiTheme="minorHAnsi"/>
          <w:lang w:val="en-GB"/>
        </w:rPr>
      </w:pPr>
    </w:p>
    <w:p w14:paraId="261EB0C2" w14:textId="77777777" w:rsidR="00B96D33" w:rsidRDefault="00B96D33" w:rsidP="00280E2E">
      <w:pPr>
        <w:pStyle w:val="ListParagraph"/>
        <w:ind w:left="426"/>
        <w:rPr>
          <w:rFonts w:asciiTheme="minorHAnsi" w:hAnsiTheme="minorHAnsi"/>
          <w:lang w:val="en-GB"/>
        </w:rPr>
      </w:pPr>
    </w:p>
    <w:p w14:paraId="026FCB3C" w14:textId="15D47E96" w:rsidR="00B96D33" w:rsidRPr="00B96D33" w:rsidRDefault="00B96D33" w:rsidP="00280E2E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Lack of mechanisms for building partnerships</w:t>
      </w:r>
    </w:p>
    <w:p w14:paraId="340FD50D" w14:textId="53AA84FC" w:rsidR="00280E2E" w:rsidRDefault="00280E2E" w:rsidP="00280E2E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</w:t>
      </w:r>
      <w:r w:rsidR="0035046B">
        <w:rPr>
          <w:rFonts w:asciiTheme="minorHAnsi" w:hAnsiTheme="minorHAnsi"/>
          <w:lang w:val="en-GB"/>
        </w:rPr>
        <w:t xml:space="preserve"> absence of dialogue and coalition leads to difficulties</w:t>
      </w:r>
      <w:r w:rsidR="000A0200" w:rsidRPr="000A0200">
        <w:rPr>
          <w:rFonts w:asciiTheme="minorHAnsi" w:hAnsiTheme="minorHAnsi"/>
          <w:lang w:val="en-GB"/>
        </w:rPr>
        <w:t xml:space="preserve"> in finding suitable partners</w:t>
      </w:r>
      <w:r>
        <w:rPr>
          <w:rFonts w:asciiTheme="minorHAnsi" w:hAnsiTheme="minorHAnsi"/>
          <w:lang w:val="en-GB"/>
        </w:rPr>
        <w:t xml:space="preserve"> to support non-state</w:t>
      </w:r>
      <w:r w:rsidR="006F142D">
        <w:rPr>
          <w:rFonts w:asciiTheme="minorHAnsi" w:hAnsiTheme="minorHAnsi"/>
          <w:lang w:val="en-GB"/>
        </w:rPr>
        <w:t xml:space="preserve"> and subnational</w:t>
      </w:r>
      <w:r>
        <w:rPr>
          <w:rFonts w:asciiTheme="minorHAnsi" w:hAnsiTheme="minorHAnsi"/>
          <w:lang w:val="en-GB"/>
        </w:rPr>
        <w:t xml:space="preserve"> action.</w:t>
      </w:r>
      <w:r w:rsidR="00982273">
        <w:rPr>
          <w:rFonts w:asciiTheme="minorHAnsi" w:hAnsiTheme="minorHAnsi"/>
          <w:lang w:val="en-GB"/>
        </w:rPr>
        <w:t xml:space="preserve"> There is extraordinary potential for mutually beneficial partnerships but there is no mechanism for identifying and connecting them.</w:t>
      </w:r>
    </w:p>
    <w:p w14:paraId="0B0C438F" w14:textId="77777777" w:rsidR="00044E9C" w:rsidRDefault="00044E9C" w:rsidP="00280E2E">
      <w:pPr>
        <w:pStyle w:val="ListParagraph"/>
        <w:ind w:left="426"/>
        <w:rPr>
          <w:rFonts w:asciiTheme="minorHAnsi" w:hAnsiTheme="minorHAnsi"/>
          <w:lang w:val="en-GB"/>
        </w:rPr>
      </w:pPr>
    </w:p>
    <w:p w14:paraId="14090668" w14:textId="394779F5" w:rsidR="00B96D33" w:rsidRPr="00B96D33" w:rsidRDefault="00B96D33" w:rsidP="00280E2E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Disconnect with policy development</w:t>
      </w:r>
    </w:p>
    <w:p w14:paraId="56FE269D" w14:textId="2B271E40" w:rsidR="004D3513" w:rsidRPr="000A0200" w:rsidRDefault="004D3513" w:rsidP="00280E2E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An absence of dialogue also prevents </w:t>
      </w:r>
      <w:r w:rsidR="00280E2E">
        <w:rPr>
          <w:rFonts w:asciiTheme="minorHAnsi" w:hAnsiTheme="minorHAnsi"/>
          <w:lang w:val="en-GB"/>
        </w:rPr>
        <w:t xml:space="preserve">NSAs from effectively participating in </w:t>
      </w:r>
      <w:r>
        <w:rPr>
          <w:rFonts w:asciiTheme="minorHAnsi" w:hAnsiTheme="minorHAnsi"/>
          <w:lang w:val="en-GB"/>
        </w:rPr>
        <w:t>policy development</w:t>
      </w:r>
      <w:r w:rsidR="00280E2E">
        <w:rPr>
          <w:rFonts w:asciiTheme="minorHAnsi" w:hAnsiTheme="minorHAnsi"/>
          <w:lang w:val="en-GB"/>
        </w:rPr>
        <w:t>, which is necessary in order to</w:t>
      </w:r>
      <w:r>
        <w:rPr>
          <w:rFonts w:asciiTheme="minorHAnsi" w:hAnsiTheme="minorHAnsi"/>
          <w:lang w:val="en-GB"/>
        </w:rPr>
        <w:t xml:space="preserve"> in</w:t>
      </w:r>
      <w:r w:rsidR="00280E2E">
        <w:rPr>
          <w:rFonts w:asciiTheme="minorHAnsi" w:hAnsiTheme="minorHAnsi"/>
          <w:lang w:val="en-GB"/>
        </w:rPr>
        <w:t>tegrate a</w:t>
      </w:r>
      <w:r>
        <w:rPr>
          <w:rFonts w:asciiTheme="minorHAnsi" w:hAnsiTheme="minorHAnsi"/>
          <w:lang w:val="en-GB"/>
        </w:rPr>
        <w:t xml:space="preserve"> suitable and appropriate support </w:t>
      </w:r>
      <w:r w:rsidR="00280E2E">
        <w:rPr>
          <w:rFonts w:asciiTheme="minorHAnsi" w:hAnsiTheme="minorHAnsi"/>
          <w:lang w:val="en-GB"/>
        </w:rPr>
        <w:t xml:space="preserve">framework </w:t>
      </w:r>
      <w:r>
        <w:rPr>
          <w:rFonts w:asciiTheme="minorHAnsi" w:hAnsiTheme="minorHAnsi"/>
          <w:lang w:val="en-GB"/>
        </w:rPr>
        <w:t xml:space="preserve">for </w:t>
      </w:r>
      <w:r w:rsidR="00280E2E">
        <w:rPr>
          <w:rFonts w:asciiTheme="minorHAnsi" w:hAnsiTheme="minorHAnsi"/>
          <w:lang w:val="en-GB"/>
        </w:rPr>
        <w:t>non-</w:t>
      </w:r>
      <w:proofErr w:type="gramStart"/>
      <w:r w:rsidR="00280E2E">
        <w:rPr>
          <w:rFonts w:asciiTheme="minorHAnsi" w:hAnsiTheme="minorHAnsi"/>
          <w:lang w:val="en-GB"/>
        </w:rPr>
        <w:t>state</w:t>
      </w:r>
      <w:proofErr w:type="gramEnd"/>
      <w:r w:rsidR="00280E2E">
        <w:rPr>
          <w:rFonts w:asciiTheme="minorHAnsi" w:hAnsiTheme="minorHAnsi"/>
          <w:lang w:val="en-GB"/>
        </w:rPr>
        <w:t xml:space="preserve"> </w:t>
      </w:r>
      <w:r w:rsidR="00872098">
        <w:rPr>
          <w:rFonts w:asciiTheme="minorHAnsi" w:hAnsiTheme="minorHAnsi"/>
          <w:lang w:val="en-GB"/>
        </w:rPr>
        <w:t xml:space="preserve">and subnational </w:t>
      </w:r>
      <w:r w:rsidR="00280E2E">
        <w:rPr>
          <w:rFonts w:asciiTheme="minorHAnsi" w:hAnsiTheme="minorHAnsi"/>
          <w:lang w:val="en-GB"/>
        </w:rPr>
        <w:t>climate action</w:t>
      </w:r>
      <w:r w:rsidR="00DF3AA3">
        <w:rPr>
          <w:rFonts w:asciiTheme="minorHAnsi" w:hAnsiTheme="minorHAnsi"/>
          <w:lang w:val="en-GB"/>
        </w:rPr>
        <w:t>, as demonstrated by the European Energy Dialogue for example</w:t>
      </w:r>
      <w:r>
        <w:rPr>
          <w:rFonts w:asciiTheme="minorHAnsi" w:hAnsiTheme="minorHAnsi"/>
          <w:lang w:val="en-GB"/>
        </w:rPr>
        <w:t>.</w:t>
      </w:r>
    </w:p>
    <w:p w14:paraId="73F9270C" w14:textId="77777777" w:rsidR="0076168E" w:rsidRPr="004B6990" w:rsidRDefault="0076168E" w:rsidP="0076168E">
      <w:pPr>
        <w:pStyle w:val="ListParagraph"/>
        <w:ind w:left="1146"/>
        <w:rPr>
          <w:rFonts w:asciiTheme="minorHAnsi" w:hAnsiTheme="minorHAnsi"/>
          <w:b/>
          <w:lang w:val="en-GB"/>
        </w:rPr>
      </w:pPr>
    </w:p>
    <w:p w14:paraId="1A0101BD" w14:textId="782DC05B" w:rsidR="00280E2E" w:rsidRDefault="00B96D33" w:rsidP="00280E2E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Internal</w:t>
      </w:r>
      <w:r w:rsidR="00C67DCF">
        <w:rPr>
          <w:rFonts w:asciiTheme="minorHAnsi" w:hAnsiTheme="minorHAnsi"/>
          <w:b/>
          <w:lang w:val="en-GB"/>
        </w:rPr>
        <w:t xml:space="preserve"> organisation</w:t>
      </w:r>
      <w:r>
        <w:rPr>
          <w:rFonts w:asciiTheme="minorHAnsi" w:hAnsiTheme="minorHAnsi"/>
          <w:b/>
          <w:lang w:val="en-GB"/>
        </w:rPr>
        <w:t xml:space="preserve"> and resources</w:t>
      </w:r>
    </w:p>
    <w:p w14:paraId="757270AF" w14:textId="77777777" w:rsidR="00280E2E" w:rsidRDefault="00280E2E" w:rsidP="00280E2E">
      <w:pPr>
        <w:pStyle w:val="ListParagraph"/>
        <w:ind w:left="426"/>
        <w:rPr>
          <w:rFonts w:asciiTheme="minorHAnsi" w:hAnsiTheme="minorHAnsi"/>
          <w:b/>
          <w:lang w:val="en-GB"/>
        </w:rPr>
      </w:pPr>
    </w:p>
    <w:p w14:paraId="061E6BFF" w14:textId="5821CDC2" w:rsidR="00B96D33" w:rsidRDefault="00B96D33" w:rsidP="00280E2E">
      <w:pPr>
        <w:pStyle w:val="ListParagraph"/>
        <w:ind w:left="426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Lack of resources</w:t>
      </w:r>
    </w:p>
    <w:p w14:paraId="4259EEB9" w14:textId="77141CB3" w:rsidR="00280E2E" w:rsidRDefault="004A38E4" w:rsidP="00280E2E">
      <w:pPr>
        <w:pStyle w:val="ListParagraph"/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Especially </w:t>
      </w:r>
      <w:r w:rsidR="00721F87">
        <w:rPr>
          <w:rFonts w:asciiTheme="minorHAnsi" w:hAnsiTheme="minorHAnsi"/>
          <w:lang w:val="en-GB"/>
        </w:rPr>
        <w:t>in the private sector</w:t>
      </w:r>
      <w:r>
        <w:rPr>
          <w:rFonts w:asciiTheme="minorHAnsi" w:hAnsiTheme="minorHAnsi"/>
          <w:lang w:val="en-GB"/>
        </w:rPr>
        <w:t>, there is frequently a general lack of resources dedicated to climate change action. There are often no employees specifically dedicated to the area, a corresponding lack of training and expertise, and an absence of managerial support to implement such initiatives.</w:t>
      </w:r>
      <w:r w:rsidR="003D713E">
        <w:rPr>
          <w:rFonts w:asciiTheme="minorHAnsi" w:hAnsiTheme="minorHAnsi"/>
          <w:lang w:val="en-GB"/>
        </w:rPr>
        <w:t xml:space="preserve"> Community actions are almost entirely implemented by </w:t>
      </w:r>
      <w:r w:rsidR="001B4D55">
        <w:rPr>
          <w:rFonts w:asciiTheme="minorHAnsi" w:hAnsiTheme="minorHAnsi"/>
          <w:lang w:val="en-GB"/>
        </w:rPr>
        <w:t>a</w:t>
      </w:r>
      <w:r w:rsidR="003D713E">
        <w:rPr>
          <w:rFonts w:asciiTheme="minorHAnsi" w:hAnsiTheme="minorHAnsi"/>
          <w:lang w:val="en-GB"/>
        </w:rPr>
        <w:t xml:space="preserve"> voluntary </w:t>
      </w:r>
      <w:r w:rsidR="001B4D55">
        <w:rPr>
          <w:rFonts w:asciiTheme="minorHAnsi" w:hAnsiTheme="minorHAnsi"/>
          <w:lang w:val="en-GB"/>
        </w:rPr>
        <w:t xml:space="preserve">workforce with </w:t>
      </w:r>
      <w:r w:rsidR="003D713E">
        <w:rPr>
          <w:rFonts w:asciiTheme="minorHAnsi" w:hAnsiTheme="minorHAnsi"/>
          <w:lang w:val="en-GB"/>
        </w:rPr>
        <w:t xml:space="preserve">limited </w:t>
      </w:r>
      <w:r w:rsidR="001B4D55">
        <w:rPr>
          <w:rFonts w:asciiTheme="minorHAnsi" w:hAnsiTheme="minorHAnsi"/>
          <w:lang w:val="en-GB"/>
        </w:rPr>
        <w:t>time and access to expert knowledge.</w:t>
      </w:r>
    </w:p>
    <w:p w14:paraId="3CC33A50" w14:textId="77777777" w:rsidR="00B42B76" w:rsidRDefault="00B42B76" w:rsidP="00280E2E">
      <w:pPr>
        <w:pStyle w:val="ListParagraph"/>
        <w:ind w:left="426"/>
        <w:rPr>
          <w:rFonts w:asciiTheme="minorHAnsi" w:hAnsiTheme="minorHAnsi"/>
          <w:lang w:val="en-GB"/>
        </w:rPr>
      </w:pPr>
    </w:p>
    <w:p w14:paraId="23DF6731" w14:textId="4C8682DD" w:rsidR="00B96D33" w:rsidRPr="00B96D33" w:rsidRDefault="00B96D33" w:rsidP="00280E2E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B96D33">
        <w:rPr>
          <w:rFonts w:asciiTheme="minorHAnsi" w:hAnsiTheme="minorHAnsi"/>
          <w:b/>
          <w:lang w:val="en-GB"/>
        </w:rPr>
        <w:t>Lack of information</w:t>
      </w:r>
    </w:p>
    <w:p w14:paraId="1EF73C86" w14:textId="520929D2" w:rsidR="00CF0BB4" w:rsidRPr="00280E2E" w:rsidRDefault="0035046B" w:rsidP="00280E2E">
      <w:pPr>
        <w:pStyle w:val="ListParagraph"/>
        <w:ind w:left="426"/>
        <w:rPr>
          <w:rFonts w:asciiTheme="minorHAnsi" w:hAnsiTheme="minorHAnsi"/>
          <w:b/>
          <w:lang w:val="en-GB"/>
        </w:rPr>
      </w:pPr>
      <w:r w:rsidRPr="00280E2E">
        <w:rPr>
          <w:rFonts w:asciiTheme="minorHAnsi" w:hAnsiTheme="minorHAnsi"/>
          <w:lang w:val="en-GB"/>
        </w:rPr>
        <w:t xml:space="preserve">There is a </w:t>
      </w:r>
      <w:r w:rsidR="00280E2E">
        <w:rPr>
          <w:rFonts w:asciiTheme="minorHAnsi" w:hAnsiTheme="minorHAnsi"/>
          <w:lang w:val="en-GB"/>
        </w:rPr>
        <w:t xml:space="preserve">general </w:t>
      </w:r>
      <w:r w:rsidRPr="00280E2E">
        <w:rPr>
          <w:rFonts w:asciiTheme="minorHAnsi" w:hAnsiTheme="minorHAnsi"/>
          <w:lang w:val="en-GB"/>
        </w:rPr>
        <w:t>lack of information available to NSAs</w:t>
      </w:r>
      <w:r w:rsidR="00476908">
        <w:rPr>
          <w:rFonts w:asciiTheme="minorHAnsi" w:hAnsiTheme="minorHAnsi"/>
          <w:lang w:val="en-GB"/>
        </w:rPr>
        <w:t xml:space="preserve"> on how to become involved in climate actions</w:t>
      </w:r>
      <w:r w:rsidR="00280E2E">
        <w:rPr>
          <w:rFonts w:asciiTheme="minorHAnsi" w:hAnsiTheme="minorHAnsi"/>
          <w:lang w:val="en-GB"/>
        </w:rPr>
        <w:t>,</w:t>
      </w:r>
      <w:r w:rsidRPr="00280E2E">
        <w:rPr>
          <w:rFonts w:asciiTheme="minorHAnsi" w:hAnsiTheme="minorHAnsi"/>
          <w:lang w:val="en-GB"/>
        </w:rPr>
        <w:t xml:space="preserve"> and </w:t>
      </w:r>
      <w:r w:rsidR="004D4EE1">
        <w:rPr>
          <w:rFonts w:asciiTheme="minorHAnsi" w:hAnsiTheme="minorHAnsi"/>
          <w:lang w:val="en-GB"/>
        </w:rPr>
        <w:t>not enough</w:t>
      </w:r>
      <w:r w:rsidR="00476908">
        <w:rPr>
          <w:rFonts w:asciiTheme="minorHAnsi" w:hAnsiTheme="minorHAnsi"/>
          <w:lang w:val="en-GB"/>
        </w:rPr>
        <w:t xml:space="preserve"> </w:t>
      </w:r>
      <w:r w:rsidR="00982273">
        <w:rPr>
          <w:rFonts w:asciiTheme="minorHAnsi" w:hAnsiTheme="minorHAnsi"/>
          <w:lang w:val="en-GB"/>
        </w:rPr>
        <w:t xml:space="preserve">access to case studies and </w:t>
      </w:r>
      <w:r w:rsidRPr="00280E2E">
        <w:rPr>
          <w:rFonts w:asciiTheme="minorHAnsi" w:hAnsiTheme="minorHAnsi"/>
          <w:lang w:val="en-GB"/>
        </w:rPr>
        <w:t xml:space="preserve">examples </w:t>
      </w:r>
      <w:r w:rsidR="00982273">
        <w:rPr>
          <w:rFonts w:asciiTheme="minorHAnsi" w:hAnsiTheme="minorHAnsi"/>
          <w:lang w:val="en-GB"/>
        </w:rPr>
        <w:t>for them to emulate</w:t>
      </w:r>
      <w:r w:rsidRPr="00280E2E">
        <w:rPr>
          <w:rFonts w:asciiTheme="minorHAnsi" w:hAnsiTheme="minorHAnsi"/>
          <w:lang w:val="en-GB"/>
        </w:rPr>
        <w:t>.</w:t>
      </w:r>
      <w:r w:rsidR="00280E2E">
        <w:rPr>
          <w:rFonts w:asciiTheme="minorHAnsi" w:hAnsiTheme="minorHAnsi"/>
          <w:b/>
          <w:lang w:val="en-GB"/>
        </w:rPr>
        <w:t xml:space="preserve"> </w:t>
      </w:r>
      <w:r w:rsidRPr="0035046B">
        <w:rPr>
          <w:rFonts w:asciiTheme="minorHAnsi" w:hAnsiTheme="minorHAnsi"/>
          <w:lang w:val="en-GB"/>
        </w:rPr>
        <w:t xml:space="preserve">Particularly at the </w:t>
      </w:r>
      <w:r>
        <w:rPr>
          <w:rFonts w:asciiTheme="minorHAnsi" w:hAnsiTheme="minorHAnsi"/>
          <w:lang w:val="en-GB"/>
        </w:rPr>
        <w:t xml:space="preserve">local network and community level, there is a </w:t>
      </w:r>
      <w:r w:rsidR="00280E2E">
        <w:rPr>
          <w:rFonts w:asciiTheme="minorHAnsi" w:hAnsiTheme="minorHAnsi"/>
          <w:lang w:val="en-GB"/>
        </w:rPr>
        <w:t>need for</w:t>
      </w:r>
      <w:r>
        <w:rPr>
          <w:rFonts w:asciiTheme="minorHAnsi" w:hAnsiTheme="minorHAnsi"/>
          <w:lang w:val="en-GB"/>
        </w:rPr>
        <w:t xml:space="preserve"> easily accessible </w:t>
      </w:r>
      <w:r w:rsidR="0059292D">
        <w:rPr>
          <w:rFonts w:asciiTheme="minorHAnsi" w:hAnsiTheme="minorHAnsi"/>
          <w:lang w:val="en-GB"/>
        </w:rPr>
        <w:t xml:space="preserve">and concrete </w:t>
      </w:r>
      <w:r>
        <w:rPr>
          <w:rFonts w:asciiTheme="minorHAnsi" w:hAnsiTheme="minorHAnsi"/>
          <w:lang w:val="en-GB"/>
        </w:rPr>
        <w:t>information about climate change and actions that can be taken.</w:t>
      </w:r>
    </w:p>
    <w:p w14:paraId="3E65DED0" w14:textId="5926D6A5" w:rsidR="002E7546" w:rsidRDefault="002E7546">
      <w:pPr>
        <w:spacing w:after="200" w:line="276" w:lineRule="auto"/>
        <w:jc w:val="lef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42054B09" w14:textId="601C82F7" w:rsidR="0019466C" w:rsidRPr="002E7546" w:rsidRDefault="002E7546" w:rsidP="002E7546">
      <w:pPr>
        <w:rPr>
          <w:rFonts w:asciiTheme="minorHAnsi" w:hAnsiTheme="minorHAnsi"/>
          <w:b/>
          <w:u w:val="single"/>
          <w:lang w:val="en-GB"/>
        </w:rPr>
      </w:pPr>
      <w:r w:rsidRPr="002E7546">
        <w:rPr>
          <w:rFonts w:asciiTheme="minorHAnsi" w:hAnsiTheme="minorHAnsi"/>
          <w:b/>
          <w:u w:val="single"/>
          <w:lang w:val="en-GB"/>
        </w:rPr>
        <w:lastRenderedPageBreak/>
        <w:t>Bibliography</w:t>
      </w:r>
    </w:p>
    <w:p w14:paraId="40D930BF" w14:textId="77777777" w:rsidR="002E7546" w:rsidRPr="002E7546" w:rsidRDefault="002E7546" w:rsidP="002E7546">
      <w:pPr>
        <w:rPr>
          <w:rFonts w:asciiTheme="minorHAnsi" w:hAnsiTheme="minorHAnsi"/>
          <w:b/>
          <w:u w:val="single"/>
          <w:lang w:val="en-GB"/>
        </w:rPr>
      </w:pPr>
    </w:p>
    <w:p w14:paraId="50DC08FA" w14:textId="1FDCBC93" w:rsidR="002E7546" w:rsidRPr="002E7546" w:rsidRDefault="0046787B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  <w:hyperlink r:id="rId10" w:history="1">
        <w:r w:rsidR="002E7546" w:rsidRPr="002E7546">
          <w:rPr>
            <w:rStyle w:val="Hyperlink"/>
            <w:rFonts w:asciiTheme="minorHAnsi" w:hAnsiTheme="minorHAnsi"/>
            <w:sz w:val="22"/>
          </w:rPr>
          <w:t>NAT/684: Coalition to deliver commitments of the Paris Agreement</w:t>
        </w:r>
      </w:hyperlink>
      <w:r w:rsidR="002E7546" w:rsidRPr="002E7546">
        <w:rPr>
          <w:rFonts w:asciiTheme="minorHAnsi" w:hAnsiTheme="minorHAnsi"/>
          <w:sz w:val="22"/>
        </w:rPr>
        <w:t xml:space="preserve"> (</w:t>
      </w:r>
      <w:r w:rsidR="00307A07">
        <w:rPr>
          <w:rFonts w:asciiTheme="minorHAnsi" w:hAnsiTheme="minorHAnsi"/>
          <w:sz w:val="22"/>
        </w:rPr>
        <w:t xml:space="preserve">EESC, </w:t>
      </w:r>
      <w:r w:rsidR="002E7546" w:rsidRPr="002E7546">
        <w:rPr>
          <w:rFonts w:asciiTheme="minorHAnsi" w:hAnsiTheme="minorHAnsi"/>
          <w:sz w:val="22"/>
        </w:rPr>
        <w:t xml:space="preserve">July 14, 2016) </w:t>
      </w:r>
    </w:p>
    <w:p w14:paraId="5B7E96FD" w14:textId="77777777" w:rsidR="002E7546" w:rsidRPr="002E7546" w:rsidRDefault="002E7546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</w:p>
    <w:p w14:paraId="6FA65097" w14:textId="723B1DCE" w:rsidR="002E7546" w:rsidRDefault="0046787B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  <w:hyperlink r:id="rId11" w:history="1">
        <w:r w:rsidR="002E7546" w:rsidRPr="002E7546">
          <w:rPr>
            <w:rStyle w:val="Hyperlink"/>
            <w:rFonts w:asciiTheme="minorHAnsi" w:hAnsiTheme="minorHAnsi"/>
            <w:sz w:val="22"/>
          </w:rPr>
          <w:t>NAT/718: Boosting climate actions by non-state actors</w:t>
        </w:r>
      </w:hyperlink>
      <w:r w:rsidR="002E7546" w:rsidRPr="002E7546">
        <w:rPr>
          <w:rFonts w:asciiTheme="minorHAnsi" w:hAnsiTheme="minorHAnsi"/>
          <w:sz w:val="22"/>
        </w:rPr>
        <w:t xml:space="preserve"> (</w:t>
      </w:r>
      <w:r w:rsidR="00307A07">
        <w:rPr>
          <w:rFonts w:asciiTheme="minorHAnsi" w:hAnsiTheme="minorHAnsi"/>
          <w:sz w:val="22"/>
        </w:rPr>
        <w:t xml:space="preserve">EESC, </w:t>
      </w:r>
      <w:r w:rsidR="002E7546" w:rsidRPr="002E7546">
        <w:rPr>
          <w:rFonts w:asciiTheme="minorHAnsi" w:hAnsiTheme="minorHAnsi"/>
          <w:sz w:val="22"/>
        </w:rPr>
        <w:t>February 15, 2018)</w:t>
      </w:r>
    </w:p>
    <w:p w14:paraId="4C0A240E" w14:textId="77777777" w:rsidR="002E7546" w:rsidRPr="002E7546" w:rsidRDefault="002E7546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</w:p>
    <w:p w14:paraId="5A6EADFC" w14:textId="60F34FD6" w:rsidR="002E7546" w:rsidRDefault="0046787B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  <w:hyperlink r:id="rId12" w:history="1">
        <w:r w:rsidR="002E7546" w:rsidRPr="002E7546">
          <w:rPr>
            <w:rStyle w:val="Hyperlink"/>
            <w:rFonts w:asciiTheme="minorHAnsi" w:hAnsiTheme="minorHAnsi"/>
            <w:sz w:val="22"/>
          </w:rPr>
          <w:t>ENVE-VI/024: Climate finance: an essential tool for the implementation of the Paris Agreement</w:t>
        </w:r>
      </w:hyperlink>
      <w:r w:rsidR="002E7546">
        <w:rPr>
          <w:rFonts w:asciiTheme="minorHAnsi" w:hAnsiTheme="minorHAnsi"/>
          <w:sz w:val="22"/>
        </w:rPr>
        <w:t xml:space="preserve"> </w:t>
      </w:r>
      <w:r w:rsidR="002E7546" w:rsidRPr="002E7546">
        <w:rPr>
          <w:rFonts w:asciiTheme="minorHAnsi" w:hAnsiTheme="minorHAnsi"/>
          <w:sz w:val="22"/>
        </w:rPr>
        <w:t>(</w:t>
      </w:r>
      <w:r w:rsidR="00307A07">
        <w:rPr>
          <w:rFonts w:asciiTheme="minorHAnsi" w:hAnsiTheme="minorHAnsi"/>
          <w:sz w:val="22"/>
        </w:rPr>
        <w:t xml:space="preserve">CoR, </w:t>
      </w:r>
      <w:r w:rsidR="002E7546" w:rsidRPr="002E7546">
        <w:rPr>
          <w:rFonts w:asciiTheme="minorHAnsi" w:hAnsiTheme="minorHAnsi"/>
          <w:sz w:val="22"/>
        </w:rPr>
        <w:t>October 10, 2017)</w:t>
      </w:r>
    </w:p>
    <w:p w14:paraId="477AF27F" w14:textId="77777777" w:rsidR="002E7546" w:rsidRPr="002E7546" w:rsidRDefault="002E7546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</w:p>
    <w:p w14:paraId="6315836C" w14:textId="66C2B713" w:rsidR="002E7546" w:rsidRPr="00EA554D" w:rsidRDefault="0046787B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  <w:hyperlink r:id="rId13" w:history="1">
        <w:r w:rsidR="00EA554D" w:rsidRPr="00EA554D">
          <w:rPr>
            <w:rStyle w:val="Hyperlink"/>
            <w:rFonts w:asciiTheme="minorHAnsi" w:hAnsiTheme="minorHAnsi" w:cs="Arial"/>
            <w:sz w:val="22"/>
            <w:lang w:val="en"/>
          </w:rPr>
          <w:t>European Dialogue on Non-State Climate Action event, report and conclusions</w:t>
        </w:r>
      </w:hyperlink>
      <w:r w:rsidR="00EA554D" w:rsidRPr="00EA554D">
        <w:rPr>
          <w:rFonts w:asciiTheme="minorHAnsi" w:hAnsiTheme="minorHAnsi" w:cs="Arial"/>
          <w:sz w:val="22"/>
          <w:lang w:val="en"/>
        </w:rPr>
        <w:t xml:space="preserve"> </w:t>
      </w:r>
      <w:r w:rsidR="002E7546" w:rsidRPr="00EA554D">
        <w:rPr>
          <w:rFonts w:asciiTheme="minorHAnsi" w:hAnsiTheme="minorHAnsi"/>
          <w:sz w:val="22"/>
        </w:rPr>
        <w:t>(April 23, 2018)</w:t>
      </w:r>
    </w:p>
    <w:p w14:paraId="52B5DB43" w14:textId="77777777" w:rsidR="002E7546" w:rsidRPr="002E7546" w:rsidRDefault="002E7546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</w:p>
    <w:p w14:paraId="4B5FAF22" w14:textId="12EDF6D1" w:rsidR="002E7546" w:rsidRDefault="0046787B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  <w:hyperlink r:id="rId14" w:history="1">
        <w:r w:rsidR="00307A07" w:rsidRPr="00307A07">
          <w:rPr>
            <w:rStyle w:val="Hyperlink"/>
            <w:rFonts w:asciiTheme="minorHAnsi" w:hAnsiTheme="minorHAnsi"/>
            <w:sz w:val="22"/>
          </w:rPr>
          <w:t>Financing climate action: opportunities and challenges for local and regional authorities</w:t>
        </w:r>
      </w:hyperlink>
      <w:r w:rsidR="00307A07" w:rsidRPr="00307A07">
        <w:rPr>
          <w:rFonts w:asciiTheme="minorHAnsi" w:hAnsiTheme="minorHAnsi"/>
          <w:sz w:val="22"/>
        </w:rPr>
        <w:t xml:space="preserve"> </w:t>
      </w:r>
      <w:r w:rsidR="002E7546" w:rsidRPr="00307A07">
        <w:rPr>
          <w:rFonts w:asciiTheme="minorHAnsi" w:hAnsiTheme="minorHAnsi"/>
          <w:sz w:val="22"/>
        </w:rPr>
        <w:t>(</w:t>
      </w:r>
      <w:r w:rsidR="00307A07" w:rsidRPr="00307A07">
        <w:rPr>
          <w:rFonts w:asciiTheme="minorHAnsi" w:hAnsiTheme="minorHAnsi"/>
          <w:sz w:val="22"/>
        </w:rPr>
        <w:t xml:space="preserve">CoR, </w:t>
      </w:r>
      <w:r w:rsidR="002E7546" w:rsidRPr="00307A07">
        <w:rPr>
          <w:rFonts w:asciiTheme="minorHAnsi" w:hAnsiTheme="minorHAnsi"/>
          <w:sz w:val="22"/>
        </w:rPr>
        <w:t>Septem</w:t>
      </w:r>
      <w:r w:rsidR="002E7546" w:rsidRPr="002E7546">
        <w:rPr>
          <w:rFonts w:asciiTheme="minorHAnsi" w:hAnsiTheme="minorHAnsi"/>
          <w:sz w:val="22"/>
        </w:rPr>
        <w:t>ber 14, 2017)</w:t>
      </w:r>
    </w:p>
    <w:p w14:paraId="25A96D1D" w14:textId="77777777" w:rsidR="002E7546" w:rsidRPr="002E7546" w:rsidRDefault="002E7546" w:rsidP="002E7546">
      <w:pPr>
        <w:pStyle w:val="FootnoteText"/>
        <w:spacing w:after="0"/>
        <w:ind w:left="0" w:firstLine="0"/>
        <w:rPr>
          <w:rFonts w:asciiTheme="minorHAnsi" w:hAnsiTheme="minorHAnsi"/>
          <w:sz w:val="22"/>
        </w:rPr>
      </w:pPr>
    </w:p>
    <w:p w14:paraId="672FE241" w14:textId="186B607C" w:rsidR="002E7546" w:rsidRPr="00307A07" w:rsidRDefault="0046787B" w:rsidP="002E7546">
      <w:pPr>
        <w:rPr>
          <w:rFonts w:asciiTheme="minorHAnsi" w:hAnsiTheme="minorHAnsi"/>
          <w:lang w:val="en-GB"/>
        </w:rPr>
      </w:pPr>
      <w:hyperlink r:id="rId15" w:history="1">
        <w:r w:rsidR="00307A07" w:rsidRPr="00307A07">
          <w:rPr>
            <w:rStyle w:val="Hyperlink"/>
            <w:rFonts w:asciiTheme="minorHAnsi" w:hAnsiTheme="minorHAnsi" w:cs="Arial"/>
            <w:lang w:val="en"/>
          </w:rPr>
          <w:t>Toolbox for multi-stakeh</w:t>
        </w:r>
        <w:r w:rsidR="00307A07" w:rsidRPr="00307A07">
          <w:rPr>
            <w:rStyle w:val="Hyperlink"/>
            <w:rFonts w:asciiTheme="minorHAnsi" w:hAnsiTheme="minorHAnsi" w:cs="Arial"/>
            <w:lang w:val="en"/>
          </w:rPr>
          <w:t>o</w:t>
        </w:r>
        <w:r w:rsidR="00307A07" w:rsidRPr="00307A07">
          <w:rPr>
            <w:rStyle w:val="Hyperlink"/>
            <w:rFonts w:asciiTheme="minorHAnsi" w:hAnsiTheme="minorHAnsi" w:cs="Arial"/>
            <w:lang w:val="en"/>
          </w:rPr>
          <w:t>lder climate partnerships: A policy framework to stimulate bottom-up climate actions</w:t>
        </w:r>
      </w:hyperlink>
      <w:r w:rsidR="00307A07" w:rsidRPr="00307A07">
        <w:rPr>
          <w:rFonts w:asciiTheme="minorHAnsi" w:hAnsiTheme="minorHAnsi" w:cs="Arial"/>
          <w:lang w:val="en"/>
        </w:rPr>
        <w:t xml:space="preserve"> </w:t>
      </w:r>
      <w:r w:rsidR="002E7546" w:rsidRPr="00307A07">
        <w:rPr>
          <w:rFonts w:asciiTheme="minorHAnsi" w:hAnsiTheme="minorHAnsi"/>
        </w:rPr>
        <w:t>(</w:t>
      </w:r>
      <w:r w:rsidR="00307A07" w:rsidRPr="00307A07">
        <w:rPr>
          <w:rFonts w:asciiTheme="minorHAnsi" w:hAnsiTheme="minorHAnsi"/>
        </w:rPr>
        <w:t xml:space="preserve">Chan &amp; Bencini for EESC, </w:t>
      </w:r>
      <w:r w:rsidR="002E7546" w:rsidRPr="00307A07">
        <w:rPr>
          <w:rFonts w:asciiTheme="minorHAnsi" w:hAnsiTheme="minorHAnsi"/>
          <w:lang w:val="en-GB"/>
        </w:rPr>
        <w:t>June 2018)</w:t>
      </w:r>
    </w:p>
    <w:p w14:paraId="5E4A39F8" w14:textId="77777777" w:rsidR="00B74BDC" w:rsidRDefault="00B74BDC" w:rsidP="002E7546">
      <w:pPr>
        <w:rPr>
          <w:rFonts w:asciiTheme="minorHAnsi" w:hAnsiTheme="minorHAnsi"/>
          <w:lang w:val="en-GB"/>
        </w:rPr>
      </w:pPr>
    </w:p>
    <w:p w14:paraId="561175EC" w14:textId="72A4EF21" w:rsidR="00B74BDC" w:rsidRPr="00EA554D" w:rsidRDefault="0046787B" w:rsidP="002E7546">
      <w:pPr>
        <w:rPr>
          <w:rFonts w:asciiTheme="minorHAnsi" w:hAnsiTheme="minorHAnsi"/>
          <w:lang w:val="en-GB"/>
        </w:rPr>
      </w:pPr>
      <w:hyperlink r:id="rId16" w:history="1">
        <w:r w:rsidR="00EA554D" w:rsidRPr="00EA554D">
          <w:rPr>
            <w:rStyle w:val="Hyperlink"/>
            <w:rFonts w:asciiTheme="minorHAnsi" w:hAnsiTheme="minorHAnsi" w:cs="Arial"/>
            <w:lang w:val="en-GB"/>
          </w:rPr>
          <w:t>A community-led transition in Europe: Local action towards a sustainable, resilient, low-carbon future</w:t>
        </w:r>
      </w:hyperlink>
      <w:r w:rsidR="00EA554D" w:rsidRPr="00EA554D">
        <w:rPr>
          <w:rFonts w:asciiTheme="minorHAnsi" w:hAnsiTheme="minorHAnsi" w:cs="Arial"/>
          <w:color w:val="666666"/>
          <w:lang w:val="en-GB"/>
        </w:rPr>
        <w:t xml:space="preserve"> (</w:t>
      </w:r>
      <w:r w:rsidR="00B74BDC" w:rsidRPr="00EA554D">
        <w:rPr>
          <w:rFonts w:asciiTheme="minorHAnsi" w:hAnsiTheme="minorHAnsi"/>
          <w:lang w:val="en-GB"/>
        </w:rPr>
        <w:t>Ecolise</w:t>
      </w:r>
      <w:r w:rsidR="00EA554D" w:rsidRPr="00EA554D">
        <w:rPr>
          <w:rFonts w:asciiTheme="minorHAnsi" w:hAnsiTheme="minorHAnsi"/>
          <w:lang w:val="en-GB"/>
        </w:rPr>
        <w:t>,</w:t>
      </w:r>
      <w:r w:rsidR="00B74BDC" w:rsidRPr="00EA554D">
        <w:rPr>
          <w:rFonts w:asciiTheme="minorHAnsi" w:hAnsiTheme="minorHAnsi"/>
          <w:lang w:val="en-GB"/>
        </w:rPr>
        <w:t xml:space="preserve"> </w:t>
      </w:r>
      <w:r w:rsidR="00477212" w:rsidRPr="00EA554D">
        <w:rPr>
          <w:rFonts w:asciiTheme="minorHAnsi" w:hAnsiTheme="minorHAnsi"/>
          <w:lang w:val="en-GB"/>
        </w:rPr>
        <w:t>2017</w:t>
      </w:r>
      <w:r w:rsidR="00EA554D" w:rsidRPr="00EA554D">
        <w:rPr>
          <w:rFonts w:asciiTheme="minorHAnsi" w:hAnsiTheme="minorHAnsi"/>
          <w:lang w:val="en-GB"/>
        </w:rPr>
        <w:t>)</w:t>
      </w:r>
    </w:p>
    <w:p w14:paraId="1B739A44" w14:textId="77777777" w:rsidR="00477212" w:rsidRDefault="00477212" w:rsidP="002E7546">
      <w:pPr>
        <w:rPr>
          <w:rFonts w:asciiTheme="minorHAnsi" w:hAnsiTheme="minorHAnsi"/>
          <w:lang w:val="en-GB"/>
        </w:rPr>
      </w:pPr>
    </w:p>
    <w:p w14:paraId="30214256" w14:textId="1AD999FF" w:rsidR="00477212" w:rsidRPr="00EA554D" w:rsidRDefault="0046787B" w:rsidP="002E7546">
      <w:pPr>
        <w:rPr>
          <w:rFonts w:asciiTheme="minorHAnsi" w:hAnsiTheme="minorHAnsi"/>
          <w:lang w:val="en-GB"/>
        </w:rPr>
      </w:pPr>
      <w:hyperlink r:id="rId17" w:history="1">
        <w:r w:rsidR="00EA554D" w:rsidRPr="00EA554D">
          <w:rPr>
            <w:rStyle w:val="Hyperlink"/>
            <w:rFonts w:asciiTheme="minorHAnsi" w:hAnsiTheme="minorHAnsi" w:cs="Arial"/>
            <w:lang w:val="en-GB"/>
          </w:rPr>
          <w:t>Local, community-led: a new future unfolding</w:t>
        </w:r>
      </w:hyperlink>
      <w:r w:rsidR="00EA554D" w:rsidRPr="00EA554D">
        <w:rPr>
          <w:rFonts w:asciiTheme="minorHAnsi" w:hAnsiTheme="minorHAnsi" w:cs="Arial"/>
          <w:color w:val="555555"/>
          <w:lang w:val="en-GB"/>
        </w:rPr>
        <w:t xml:space="preserve"> (</w:t>
      </w:r>
      <w:r w:rsidR="00477212" w:rsidRPr="00EA554D">
        <w:rPr>
          <w:rFonts w:asciiTheme="minorHAnsi" w:hAnsiTheme="minorHAnsi"/>
          <w:lang w:val="en-GB"/>
        </w:rPr>
        <w:t>Ecolise</w:t>
      </w:r>
      <w:r w:rsidR="00EA554D" w:rsidRPr="00EA554D">
        <w:rPr>
          <w:rFonts w:asciiTheme="minorHAnsi" w:hAnsiTheme="minorHAnsi"/>
          <w:lang w:val="en-GB"/>
        </w:rPr>
        <w:t>,</w:t>
      </w:r>
      <w:r w:rsidR="00477212" w:rsidRPr="00EA554D">
        <w:rPr>
          <w:rFonts w:asciiTheme="minorHAnsi" w:hAnsiTheme="minorHAnsi"/>
          <w:lang w:val="en-GB"/>
        </w:rPr>
        <w:t xml:space="preserve"> 2018</w:t>
      </w:r>
      <w:r w:rsidR="00EA554D" w:rsidRPr="00EA554D">
        <w:rPr>
          <w:rFonts w:asciiTheme="minorHAnsi" w:hAnsiTheme="minorHAnsi"/>
          <w:lang w:val="en-GB"/>
        </w:rPr>
        <w:t>)</w:t>
      </w:r>
    </w:p>
    <w:sectPr w:rsidR="00477212" w:rsidRPr="00EA554D" w:rsidSect="00FE621D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F87C" w14:textId="77777777" w:rsidR="00561779" w:rsidRDefault="00561779" w:rsidP="00F4667A">
      <w:pPr>
        <w:spacing w:line="240" w:lineRule="auto"/>
      </w:pPr>
      <w:r>
        <w:separator/>
      </w:r>
    </w:p>
  </w:endnote>
  <w:endnote w:type="continuationSeparator" w:id="0">
    <w:p w14:paraId="29AE896F" w14:textId="77777777" w:rsidR="00561779" w:rsidRDefault="00561779" w:rsidP="00F46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C77B8" w14:textId="77777777" w:rsidR="00561779" w:rsidRDefault="00561779" w:rsidP="00F4667A">
      <w:pPr>
        <w:spacing w:line="240" w:lineRule="auto"/>
      </w:pPr>
      <w:r>
        <w:separator/>
      </w:r>
    </w:p>
  </w:footnote>
  <w:footnote w:type="continuationSeparator" w:id="0">
    <w:p w14:paraId="1E617D2D" w14:textId="77777777" w:rsidR="00561779" w:rsidRDefault="00561779" w:rsidP="00F4667A">
      <w:pPr>
        <w:spacing w:line="240" w:lineRule="auto"/>
      </w:pPr>
      <w:r>
        <w:continuationSeparator/>
      </w:r>
    </w:p>
  </w:footnote>
  <w:footnote w:id="1">
    <w:p w14:paraId="0C1DEFAC" w14:textId="77777777" w:rsidR="00872098" w:rsidRPr="00872098" w:rsidRDefault="00872098" w:rsidP="00872098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07A07">
          <w:rPr>
            <w:rStyle w:val="Hyperlink"/>
            <w:rFonts w:asciiTheme="minorHAnsi" w:hAnsiTheme="minorHAnsi" w:cs="Arial"/>
            <w:lang w:val="en"/>
          </w:rPr>
          <w:t>Toolbox for multi-stakeholder climate partnerships: A policy framework to stimulate bottom-up climate actions</w:t>
        </w:r>
      </w:hyperlink>
      <w:r w:rsidRPr="00307A07">
        <w:rPr>
          <w:rFonts w:asciiTheme="minorHAnsi" w:hAnsiTheme="minorHAnsi" w:cs="Arial"/>
          <w:lang w:val="en"/>
        </w:rPr>
        <w:t xml:space="preserve"> </w:t>
      </w:r>
      <w:r w:rsidRPr="00307A07">
        <w:rPr>
          <w:rFonts w:asciiTheme="minorHAnsi" w:hAnsiTheme="minorHAnsi"/>
        </w:rPr>
        <w:t xml:space="preserve">(Chan &amp; Bencini for EESC, </w:t>
      </w:r>
      <w:r w:rsidRPr="00307A07">
        <w:rPr>
          <w:rFonts w:asciiTheme="minorHAnsi" w:hAnsiTheme="minorHAnsi"/>
          <w:lang w:val="en-GB"/>
        </w:rPr>
        <w:t>June 2018)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22B4A81"/>
    <w:multiLevelType w:val="hybridMultilevel"/>
    <w:tmpl w:val="DC7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B2A2A"/>
    <w:multiLevelType w:val="hybridMultilevel"/>
    <w:tmpl w:val="28DE4C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EB2986"/>
    <w:multiLevelType w:val="hybridMultilevel"/>
    <w:tmpl w:val="613256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95286B"/>
    <w:multiLevelType w:val="hybridMultilevel"/>
    <w:tmpl w:val="7CD8E03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FEB550E"/>
    <w:multiLevelType w:val="hybridMultilevel"/>
    <w:tmpl w:val="5F5CA3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4177146"/>
    <w:multiLevelType w:val="hybridMultilevel"/>
    <w:tmpl w:val="B560B9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5216A3"/>
    <w:multiLevelType w:val="hybridMultilevel"/>
    <w:tmpl w:val="3872FC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3E2899"/>
    <w:multiLevelType w:val="hybridMultilevel"/>
    <w:tmpl w:val="592C619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53923A1"/>
    <w:multiLevelType w:val="hybridMultilevel"/>
    <w:tmpl w:val="05501B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E09404F"/>
    <w:multiLevelType w:val="hybridMultilevel"/>
    <w:tmpl w:val="96EC7D5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622B6671"/>
    <w:multiLevelType w:val="hybridMultilevel"/>
    <w:tmpl w:val="71540B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F604F6"/>
    <w:multiLevelType w:val="hybridMultilevel"/>
    <w:tmpl w:val="21B812A8"/>
    <w:lvl w:ilvl="0" w:tplc="EF44A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1D"/>
    <w:rsid w:val="00025F0D"/>
    <w:rsid w:val="00044E9C"/>
    <w:rsid w:val="000A0200"/>
    <w:rsid w:val="000F27E8"/>
    <w:rsid w:val="00111C23"/>
    <w:rsid w:val="00114261"/>
    <w:rsid w:val="0011520B"/>
    <w:rsid w:val="00121F06"/>
    <w:rsid w:val="0013413B"/>
    <w:rsid w:val="00140867"/>
    <w:rsid w:val="00142295"/>
    <w:rsid w:val="00144884"/>
    <w:rsid w:val="00150B5A"/>
    <w:rsid w:val="001557C5"/>
    <w:rsid w:val="001565EC"/>
    <w:rsid w:val="00175C23"/>
    <w:rsid w:val="00182995"/>
    <w:rsid w:val="0019466C"/>
    <w:rsid w:val="001B4855"/>
    <w:rsid w:val="001B4D55"/>
    <w:rsid w:val="001C0F97"/>
    <w:rsid w:val="001E649D"/>
    <w:rsid w:val="001F6CD8"/>
    <w:rsid w:val="0020739F"/>
    <w:rsid w:val="00211DBF"/>
    <w:rsid w:val="00231449"/>
    <w:rsid w:val="00280E2E"/>
    <w:rsid w:val="002E7546"/>
    <w:rsid w:val="002E78D1"/>
    <w:rsid w:val="002F5D34"/>
    <w:rsid w:val="00307A07"/>
    <w:rsid w:val="00313D96"/>
    <w:rsid w:val="0035046B"/>
    <w:rsid w:val="00362A5B"/>
    <w:rsid w:val="0038440F"/>
    <w:rsid w:val="003A5F7A"/>
    <w:rsid w:val="003C34BD"/>
    <w:rsid w:val="003D20BC"/>
    <w:rsid w:val="003D713E"/>
    <w:rsid w:val="003F00A9"/>
    <w:rsid w:val="00410B6A"/>
    <w:rsid w:val="0043275C"/>
    <w:rsid w:val="00454F2A"/>
    <w:rsid w:val="0046787B"/>
    <w:rsid w:val="00476908"/>
    <w:rsid w:val="00477212"/>
    <w:rsid w:val="004A299C"/>
    <w:rsid w:val="004A38E4"/>
    <w:rsid w:val="004B3E62"/>
    <w:rsid w:val="004B6990"/>
    <w:rsid w:val="004D3513"/>
    <w:rsid w:val="004D4EE1"/>
    <w:rsid w:val="004F19AF"/>
    <w:rsid w:val="005259C5"/>
    <w:rsid w:val="00527F94"/>
    <w:rsid w:val="00537628"/>
    <w:rsid w:val="00561779"/>
    <w:rsid w:val="00563CE5"/>
    <w:rsid w:val="005769A9"/>
    <w:rsid w:val="0059292D"/>
    <w:rsid w:val="005F5D27"/>
    <w:rsid w:val="00633CA7"/>
    <w:rsid w:val="00673915"/>
    <w:rsid w:val="0067754A"/>
    <w:rsid w:val="006B1F03"/>
    <w:rsid w:val="006B31D9"/>
    <w:rsid w:val="006C312E"/>
    <w:rsid w:val="006F142D"/>
    <w:rsid w:val="00721F87"/>
    <w:rsid w:val="0073374B"/>
    <w:rsid w:val="0076168E"/>
    <w:rsid w:val="00783145"/>
    <w:rsid w:val="00785C6D"/>
    <w:rsid w:val="007A181B"/>
    <w:rsid w:val="007C7E69"/>
    <w:rsid w:val="007D0518"/>
    <w:rsid w:val="00834000"/>
    <w:rsid w:val="00841788"/>
    <w:rsid w:val="00872098"/>
    <w:rsid w:val="00874EAC"/>
    <w:rsid w:val="008C5E03"/>
    <w:rsid w:val="008C61AE"/>
    <w:rsid w:val="008F60CE"/>
    <w:rsid w:val="00903251"/>
    <w:rsid w:val="009200DF"/>
    <w:rsid w:val="009776BF"/>
    <w:rsid w:val="009821BB"/>
    <w:rsid w:val="00982273"/>
    <w:rsid w:val="009A16CB"/>
    <w:rsid w:val="009A7089"/>
    <w:rsid w:val="009D428E"/>
    <w:rsid w:val="009E5463"/>
    <w:rsid w:val="00A62293"/>
    <w:rsid w:val="00A66005"/>
    <w:rsid w:val="00AB7971"/>
    <w:rsid w:val="00AE08DA"/>
    <w:rsid w:val="00B018AB"/>
    <w:rsid w:val="00B15035"/>
    <w:rsid w:val="00B276B8"/>
    <w:rsid w:val="00B326DD"/>
    <w:rsid w:val="00B42B76"/>
    <w:rsid w:val="00B61175"/>
    <w:rsid w:val="00B7012E"/>
    <w:rsid w:val="00B74BDC"/>
    <w:rsid w:val="00B81AAD"/>
    <w:rsid w:val="00B96D33"/>
    <w:rsid w:val="00B97F0A"/>
    <w:rsid w:val="00BA1EE6"/>
    <w:rsid w:val="00BA7375"/>
    <w:rsid w:val="00BB04FE"/>
    <w:rsid w:val="00BD54E7"/>
    <w:rsid w:val="00C01328"/>
    <w:rsid w:val="00C50D68"/>
    <w:rsid w:val="00C67DCF"/>
    <w:rsid w:val="00CD068E"/>
    <w:rsid w:val="00CD5AA3"/>
    <w:rsid w:val="00CF0BB4"/>
    <w:rsid w:val="00D06ADE"/>
    <w:rsid w:val="00D1284A"/>
    <w:rsid w:val="00D24184"/>
    <w:rsid w:val="00D32FE9"/>
    <w:rsid w:val="00D37452"/>
    <w:rsid w:val="00DA01EA"/>
    <w:rsid w:val="00DD014F"/>
    <w:rsid w:val="00DD5C61"/>
    <w:rsid w:val="00DF3AA3"/>
    <w:rsid w:val="00E7244D"/>
    <w:rsid w:val="00E84DAA"/>
    <w:rsid w:val="00EA554D"/>
    <w:rsid w:val="00EB5AD5"/>
    <w:rsid w:val="00F00D7F"/>
    <w:rsid w:val="00F175FE"/>
    <w:rsid w:val="00F21EC9"/>
    <w:rsid w:val="00F4667A"/>
    <w:rsid w:val="00F71A45"/>
    <w:rsid w:val="00F84C7F"/>
    <w:rsid w:val="00F90A48"/>
    <w:rsid w:val="00FC1E60"/>
    <w:rsid w:val="00FE621D"/>
    <w:rsid w:val="00FF3E7E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3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1D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E621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E621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E621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E621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E621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E621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E621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E621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E621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21D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E621D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E621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E621D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E621D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E621D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E621D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E621D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E62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E621D"/>
  </w:style>
  <w:style w:type="character" w:customStyle="1" w:styleId="FooterChar">
    <w:name w:val="Footer Char"/>
    <w:basedOn w:val="DefaultParagraphFont"/>
    <w:link w:val="Footer"/>
    <w:rsid w:val="00FE621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FE621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E621D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E621D"/>
  </w:style>
  <w:style w:type="character" w:customStyle="1" w:styleId="HeaderChar">
    <w:name w:val="Header Char"/>
    <w:basedOn w:val="DefaultParagraphFont"/>
    <w:link w:val="Header"/>
    <w:rsid w:val="00FE621D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E621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FE621D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874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D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1D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E621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E621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E621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E621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E621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E621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E621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E621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E621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21D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E621D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E621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E621D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E621D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E621D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E621D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E621D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E62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E621D"/>
  </w:style>
  <w:style w:type="character" w:customStyle="1" w:styleId="FooterChar">
    <w:name w:val="Footer Char"/>
    <w:basedOn w:val="DefaultParagraphFont"/>
    <w:link w:val="Footer"/>
    <w:rsid w:val="00FE621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FE621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E621D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E621D"/>
  </w:style>
  <w:style w:type="character" w:customStyle="1" w:styleId="HeaderChar">
    <w:name w:val="Header Char"/>
    <w:basedOn w:val="DefaultParagraphFont"/>
    <w:link w:val="Header"/>
    <w:rsid w:val="00FE621D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E621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FE621D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874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D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esc.europa.eu/en/agenda/our-events/events/european-dialogue-non-state-climate-a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api.cor.europa.eu/documentsanonymous/cor-2017-02108-00-00-ac-tra-en.docx" TargetMode="External"/><Relationship Id="rId17" Type="http://schemas.openxmlformats.org/officeDocument/2006/relationships/hyperlink" Target="http://www.ecolise.eu/wp-content/uploads/2018/09/ECOLISE_BOOKLET_2018_L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lise.eu/wp-content/uploads/2017/06/ECOLISE-European-Day-of-Sustainable-Communities-booklet-Sept-201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esc.europa.eu/en/our-work/opinions-information-reports/opinions/boosting-climate-actions-non-state-ac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esc.europa.eu/en/our-work/publications-other-work/publications/toolbox-multi-stakeholder-climate-partnerships-policy-framework-stimulate-bottom-climate-actions-study" TargetMode="External"/><Relationship Id="rId10" Type="http://schemas.openxmlformats.org/officeDocument/2006/relationships/hyperlink" Target="https://www.eesc.europa.eu/en/our-work/opinions-information-reports/opinions/eesc-opinion-coalition-deliver-commitments-paris-agreeme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or.europa.eu/en/engage/studies/Documents/Financing-climate-action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esc.europa.eu/en/our-work/publications-other-work/publications/toolbox-multi-stakeholder-climate-partnerships-policy-framework-stimulate-bottom-climate-actions-stud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7F9A-6943-4072-B843-A0C4A0FC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187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Sheffield</dc:creator>
  <cp:lastModifiedBy>Stella Brozek-Everaert</cp:lastModifiedBy>
  <cp:revision>6</cp:revision>
  <cp:lastPrinted>2018-10-19T08:36:00Z</cp:lastPrinted>
  <dcterms:created xsi:type="dcterms:W3CDTF">2018-10-19T08:28:00Z</dcterms:created>
  <dcterms:modified xsi:type="dcterms:W3CDTF">2018-10-19T11:38:00Z</dcterms:modified>
</cp:coreProperties>
</file>